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47EF" w14:textId="77777777" w:rsidR="007C31C4" w:rsidRDefault="007C31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</w:pPr>
    </w:p>
    <w:p w14:paraId="5B508253" w14:textId="77777777" w:rsidR="007C31C4" w:rsidRDefault="007C31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AA49693" w14:textId="77777777" w:rsidR="007C31C4" w:rsidRDefault="008224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</w:p>
    <w:p w14:paraId="573158DF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Facultățile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Universității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„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Lucian Blaga” din Sibiu,</w:t>
      </w:r>
    </w:p>
    <w:p w14:paraId="1B2B4A31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6C9F1D8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FE693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atenţia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04D7FF3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Doamnei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Domnului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Decan,</w:t>
      </w:r>
    </w:p>
    <w:p w14:paraId="48327281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Doamnei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Prodecan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Domnului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Prodecan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14:paraId="525FA7E9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Coordonatorilor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Erasmus+,</w:t>
      </w:r>
    </w:p>
    <w:p w14:paraId="3AB988CF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Directorilor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AC24E01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7048" w14:textId="77777777" w:rsidR="007C31C4" w:rsidRDefault="007C31C4">
      <w:pPr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8DB2DA1" w14:textId="77777777" w:rsidR="007C31C4" w:rsidRDefault="008224C9">
      <w:pPr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realizării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mobilităţilor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predare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programului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Erasmus+ cu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țări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terțe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care nu sunt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asociate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program (non-UE): </w:t>
      </w:r>
    </w:p>
    <w:p w14:paraId="3B727186" w14:textId="77777777" w:rsidR="007C31C4" w:rsidRDefault="008224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mobilitățile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Erasmus+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outgoing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care 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comunității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ULBS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eligibilitate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079FB12" w14:textId="77777777" w:rsidR="007C31C4" w:rsidRDefault="008224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mobilități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Erasmus+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terțe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program (non-UE)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transmis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A1AFC3" w14:textId="77777777" w:rsidR="007C31C4" w:rsidRDefault="008224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EWP,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online,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excepți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eventual,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întâlnirilor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comisiilor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contestații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E0BDF5" w14:textId="541AEDF2" w:rsidR="007C31C4" w:rsidRDefault="008224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Dosarele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personalului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didacti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 transmit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format electronic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folosind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formularul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alăturat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36726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https://forms.gle/DtKN</w:t>
        </w:r>
        <w:r w:rsidRPr="0036726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7</w:t>
        </w:r>
        <w:r w:rsidRPr="0036726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siAorLbHuVs5</w:t>
        </w:r>
      </w:hyperlink>
    </w:p>
    <w:p w14:paraId="0BE42BFC" w14:textId="77777777" w:rsidR="007C31C4" w:rsidRDefault="008224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nregistrare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781D11" w14:textId="77777777" w:rsidR="007C31C4" w:rsidRDefault="008224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depune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dosare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distincte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eventualitatea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optează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tipuri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mobilitate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(UE/ NON-UE)</w:t>
      </w:r>
    </w:p>
    <w:p w14:paraId="59FFE9B2" w14:textId="77777777" w:rsidR="007C31C4" w:rsidRDefault="008224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dosarelor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face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ierarhizați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punctajelor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obținute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disponibile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există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punctajul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concurs egal,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face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scrisoarea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motivație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B5274F" w14:textId="77777777" w:rsidR="007C31C4" w:rsidRDefault="008224C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anonimizat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 site-ul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Relații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Internaționale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http://international.ulbsibiu.ro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afișate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B1CCC7" w14:textId="77777777" w:rsidR="007C31C4" w:rsidRDefault="008224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15" w:hanging="2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„zero grant”,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repartizați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destinație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109C848" w14:textId="77777777" w:rsidR="007C31C4" w:rsidRDefault="008224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15" w:hanging="2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așteptare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obținut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de concurs de minim 60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pot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eventuala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renunțare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inițial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F5551C3" w14:textId="77777777" w:rsidR="007C31C4" w:rsidRDefault="008224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15" w:hanging="2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respinși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2E9D5B" w14:textId="77777777" w:rsidR="007C31C4" w:rsidRDefault="008224C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Eventualele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contestații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electronic,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termen de 24 de ore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afișarea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soluționate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contestații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afișarea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5754BF" w14:textId="77777777" w:rsidR="007C31C4" w:rsidRDefault="008224C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finale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anunțate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site-ul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Internaționale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termen de maxim 24 de ore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încheierea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contestații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5AEF11" w14:textId="77777777" w:rsidR="007C31C4" w:rsidRDefault="008224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faptului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nominalizarea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garantează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obținerea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invitației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asemenea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ghidați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găsirii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alternative.</w:t>
      </w:r>
    </w:p>
    <w:p w14:paraId="3A92242F" w14:textId="77777777" w:rsidR="007C31C4" w:rsidRDefault="008224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consultat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link: </w:t>
      </w:r>
      <w:hyperlink r:id="rId10">
        <w:r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https://senat.ulbsibiu.ro/wp-content/uploads/260123/7_Regulament%20mobilitati%20Erasmus_Senat_ianuarie2023.pdf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</w:p>
    <w:p w14:paraId="13830415" w14:textId="77777777" w:rsidR="007C31C4" w:rsidRDefault="007C31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8" w:right="116"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440476A" w14:textId="77777777" w:rsidR="007C31C4" w:rsidRDefault="008224C9">
      <w:pPr>
        <w:ind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TERMENUL DE REALIZARE A MOBILITĂȚILOR ESTE 31 DECEMBRIE 2025!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</w:rPr>
        <w:footnoteReference w:id="1"/>
      </w:r>
    </w:p>
    <w:p w14:paraId="5100604F" w14:textId="77777777" w:rsidR="007C31C4" w:rsidRDefault="008224C9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BAREME APLICABILE PENTRU MOBILITĂȚILE ERASMUS+ CU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ȚĂRI TERȚE CARE NU SUNT ASOCIATE LA PROGRAM (NON-UE)</w:t>
      </w:r>
    </w:p>
    <w:p w14:paraId="167B9663" w14:textId="77777777" w:rsidR="007C31C4" w:rsidRDefault="007C31C4">
      <w:pPr>
        <w:widowControl w:val="0"/>
        <w:pBdr>
          <w:between w:val="nil"/>
        </w:pBdr>
        <w:spacing w:before="4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505B8" w14:textId="77777777" w:rsidR="007C31C4" w:rsidRDefault="008224C9">
      <w:pPr>
        <w:widowControl w:val="0"/>
        <w:pBdr>
          <w:between w:val="nil"/>
        </w:pBdr>
        <w:spacing w:before="4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Programului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Erasmus+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țări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terțe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care nu sunt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asociate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la Program (non-UE),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granturile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fixate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destinație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F92EB2" w14:textId="77777777" w:rsidR="007C31C4" w:rsidRDefault="007C31C4">
      <w:pPr>
        <w:widowControl w:val="0"/>
        <w:pBdr>
          <w:between w:val="nil"/>
        </w:pBdr>
        <w:spacing w:before="4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814E1C" w14:textId="77777777" w:rsidR="007C31C4" w:rsidRDefault="008224C9">
      <w:pPr>
        <w:widowControl w:val="0"/>
        <w:pBdr>
          <w:between w:val="nil"/>
        </w:pBdr>
        <w:spacing w:before="4"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8C19E8" wp14:editId="0DCA898A">
            <wp:extent cx="4314508" cy="628650"/>
            <wp:effectExtent l="0" t="0" r="0" b="0"/>
            <wp:docPr id="12" name="image4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ext&#10;&#10;Description automatically generated with medium confidence"/>
                    <pic:cNvPicPr preferRelativeResize="0"/>
                  </pic:nvPicPr>
                  <pic:blipFill>
                    <a:blip r:embed="rId11"/>
                    <a:srcRect l="-164" t="647" r="164" b="39353"/>
                    <a:stretch>
                      <a:fillRect/>
                    </a:stretch>
                  </pic:blipFill>
                  <pic:spPr>
                    <a:xfrm>
                      <a:off x="0" y="0"/>
                      <a:ext cx="4314508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9E7424" w14:textId="77777777" w:rsidR="007C31C4" w:rsidRDefault="007C31C4">
      <w:pPr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DA7F77" w14:textId="77777777" w:rsidR="007C31C4" w:rsidRDefault="008224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costurile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rate:</w:t>
      </w:r>
    </w:p>
    <w:p w14:paraId="5358D1C5" w14:textId="77777777" w:rsidR="007C31C4" w:rsidRDefault="007C31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744EBB" w14:textId="77777777" w:rsidR="007C31C4" w:rsidRDefault="008224C9">
      <w:pPr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0B25B6" wp14:editId="7CB281E4">
            <wp:extent cx="4419600" cy="1231976"/>
            <wp:effectExtent l="0" t="0" r="0" b="0"/>
            <wp:docPr id="14" name="image3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abl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231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FD1F72" w14:textId="77777777" w:rsidR="007C31C4" w:rsidRDefault="007C31C4">
      <w:pPr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C2524" w14:textId="77777777" w:rsidR="007C31C4" w:rsidRDefault="007C31C4">
      <w:pPr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9AFEB" w14:textId="77777777" w:rsidR="007C31C4" w:rsidRDefault="007C31C4">
      <w:pPr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E9C0A" w14:textId="77777777" w:rsidR="007C31C4" w:rsidRDefault="008224C9">
      <w:pPr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SELECŢIA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Personalului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ULBS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mobilități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(STA) </w:t>
      </w:r>
    </w:p>
    <w:p w14:paraId="09352B64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CE4344" w14:textId="77777777" w:rsidR="007C31C4" w:rsidRDefault="008224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11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eligibil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obținerea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Erasmus+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(STA)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ULBS,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didactică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ULBS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efectuării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asemenea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doctoranzii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desfășoară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activitate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didactică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posibilitatea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efectua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mobilități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predare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STA),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cazuri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organizarea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acestor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mobilități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desfășura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conform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criteriilor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eligibilitate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modalităților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descrise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1EF75A6D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4CF75" w14:textId="77777777" w:rsidR="007C31C4" w:rsidRDefault="008224C9">
      <w:pPr>
        <w:spacing w:before="120" w:line="240" w:lineRule="auto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Erasmus+,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consolidarea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legăturilor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</w:t>
      </w:r>
      <w:r>
        <w:rPr>
          <w:rFonts w:ascii="Times New Roman" w:eastAsia="Times New Roman" w:hAnsi="Times New Roman" w:cs="Times New Roman"/>
          <w:sz w:val="24"/>
          <w:szCs w:val="24"/>
        </w:rPr>
        <w:t>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punctajul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suplimentar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fișei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A77665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Criterii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eligibilitate</w:t>
      </w:r>
      <w:proofErr w:type="spellEnd"/>
    </w:p>
    <w:p w14:paraId="6575F80D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9F21F" w14:textId="77777777" w:rsidR="007C31C4" w:rsidRDefault="008224C9">
      <w:pPr>
        <w:numPr>
          <w:ilvl w:val="0"/>
          <w:numId w:val="5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didactic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ULBS (pe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contractual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6D8A8293" w14:textId="77777777" w:rsidR="007C31C4" w:rsidRDefault="008224C9">
      <w:pPr>
        <w:numPr>
          <w:ilvl w:val="0"/>
          <w:numId w:val="5"/>
        </w:num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atestat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străină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minim B2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03038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6C70F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transmit online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Erasmus+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conține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40F67E3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13659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eligibilitate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ULBS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5EC7BB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curriculum vitae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tehnoredactat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proofErr w:type="gramEnd"/>
    </w:p>
    <w:p w14:paraId="70210AC7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scrisoare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intenție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tehnoredactată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EA756D3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draft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(staff mobility for teaching - STA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34BAB119" w14:textId="77777777" w:rsidR="007C31C4" w:rsidRDefault="008224C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certificat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limbă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străină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instituții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autorizate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minim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B2;</w:t>
      </w:r>
      <w:proofErr w:type="gramEnd"/>
    </w:p>
    <w:p w14:paraId="7928DAC1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diplome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relevante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certificate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opțional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2F5D13AD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8AD8A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CALENDARUL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PROCESULUI  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SELECȚIE</w:t>
      </w:r>
    </w:p>
    <w:p w14:paraId="4DB64ADE" w14:textId="77777777" w:rsidR="007C31C4" w:rsidRDefault="007C3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30847" w14:textId="77777777" w:rsidR="007C31C4" w:rsidRDefault="00822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28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octombrie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– 10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noiembrie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Erasmus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+</w:t>
      </w:r>
    </w:p>
    <w:p w14:paraId="23417FA2" w14:textId="77777777" w:rsidR="007C31C4" w:rsidRDefault="00822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*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înscrieri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lingvistică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27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octombrie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Înscrierile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fac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următorul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link: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https://forms.gle/9c2WGQavua127Dn1A</w:t>
        </w:r>
      </w:hyperlink>
    </w:p>
    <w:p w14:paraId="22CA3CA6" w14:textId="77777777" w:rsidR="007C31C4" w:rsidRDefault="00822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*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susținerii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testării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lingvistice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octombrie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13:00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Facultății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3857B21" w14:textId="77777777" w:rsidR="007C31C4" w:rsidRDefault="00822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Etapa II: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11 – 18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noiembrie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2024 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</w:t>
      </w:r>
      <w:r>
        <w:rPr>
          <w:rFonts w:ascii="Times New Roman" w:eastAsia="Times New Roman" w:hAnsi="Times New Roman" w:cs="Times New Roman"/>
          <w:sz w:val="24"/>
          <w:szCs w:val="24"/>
        </w:rPr>
        <w:t>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-verbal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afișarea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selecției</w:t>
      </w:r>
      <w:proofErr w:type="spellEnd"/>
    </w:p>
    <w:p w14:paraId="72D17E1F" w14:textId="77777777" w:rsidR="007C31C4" w:rsidRDefault="00822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Etapa III: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noiembrie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2024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depunerea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contestațiilor</w:t>
      </w:r>
      <w:proofErr w:type="spellEnd"/>
    </w:p>
    <w:p w14:paraId="69E062FF" w14:textId="77777777" w:rsidR="007C31C4" w:rsidRDefault="00822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IV: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noiembrie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afişarea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rezultatelor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după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soluționarea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contestaţiilor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termenul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legal.</w:t>
      </w:r>
    </w:p>
    <w:p w14:paraId="6042B4AA" w14:textId="77777777" w:rsidR="007C31C4" w:rsidRDefault="007C3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9CA67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Atașăm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următoare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76B9CB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27BA2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Formular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eligibilitate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înscriere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personalului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ULBS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mobilitate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predare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15)</w:t>
      </w:r>
    </w:p>
    <w:p w14:paraId="0B0DDC5B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Teaching Mobility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CB551E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Situaţia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centralizată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acordurilor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bilaterale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locurile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disponibile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Erasmus+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8D335E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88452" w14:textId="77777777" w:rsidR="007C31C4" w:rsidRDefault="008224C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rugăm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942A2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E4301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D4479" w14:textId="77777777" w:rsidR="007C31C4" w:rsidRDefault="007C31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897E5" w14:textId="77777777" w:rsidR="007C31C4" w:rsidRDefault="008224C9">
      <w:pPr>
        <w:spacing w:after="0" w:line="240" w:lineRule="auto"/>
        <w:ind w:right="-152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Prof.univ.dr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Andrei TERIAN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DAN,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Lector univ. dr. Anca SIMS,</w:t>
      </w:r>
    </w:p>
    <w:p w14:paraId="3A080009" w14:textId="77777777" w:rsidR="007C31C4" w:rsidRDefault="008224C9">
      <w:pPr>
        <w:spacing w:after="0" w:line="240" w:lineRule="auto"/>
        <w:ind w:right="-15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Coordonator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instituţional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Erasmus+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Șef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Erasmus+                                                                             </w:t>
      </w:r>
    </w:p>
    <w:p w14:paraId="5FF63CEC" w14:textId="77777777" w:rsidR="007C31C4" w:rsidRDefault="007C31C4">
      <w:pPr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31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418" w:right="563" w:bottom="1418" w:left="1418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0A9B" w14:textId="77777777" w:rsidR="008224C9" w:rsidRDefault="008224C9">
      <w:pPr>
        <w:spacing w:after="0" w:line="240" w:lineRule="auto"/>
      </w:pPr>
      <w:r>
        <w:separator/>
      </w:r>
    </w:p>
  </w:endnote>
  <w:endnote w:type="continuationSeparator" w:id="0">
    <w:p w14:paraId="1E8139D9" w14:textId="77777777" w:rsidR="008224C9" w:rsidRDefault="0082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61D5" w14:textId="77777777" w:rsidR="007C31C4" w:rsidRDefault="007C31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DD47" w14:textId="77777777" w:rsidR="007C31C4" w:rsidRDefault="00822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ind w:hanging="2"/>
      <w:rPr>
        <w:rFonts w:ascii="Helvetica Neue" w:eastAsia="Helvetica Neue" w:hAnsi="Helvetica Neue" w:cs="Helvetica Neue"/>
        <w:color w:val="0B2F63"/>
      </w:rPr>
    </w:pPr>
    <w:r>
      <w:rPr>
        <w:rFonts w:ascii="Helvetica Neue" w:eastAsia="Helvetica Neue" w:hAnsi="Helvetica Neue" w:cs="Helvetica Neue"/>
        <w:color w:val="0B2F63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BEB9AE0" wp14:editId="08A152F4">
              <wp:simplePos x="0" y="0"/>
              <wp:positionH relativeFrom="column">
                <wp:posOffset>-241299</wp:posOffset>
              </wp:positionH>
              <wp:positionV relativeFrom="paragraph">
                <wp:posOffset>50800</wp:posOffset>
              </wp:positionV>
              <wp:extent cx="6553200" cy="93344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093213" y="3757141"/>
                        <a:ext cx="6505575" cy="45719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B2F6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50800</wp:posOffset>
              </wp:positionV>
              <wp:extent cx="6553200" cy="93344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3200" cy="933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4"/>
      <w:tblW w:w="928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712"/>
      <w:gridCol w:w="4575"/>
    </w:tblGrid>
    <w:tr w:rsidR="007C31C4" w14:paraId="23C81BB4" w14:textId="77777777">
      <w:tc>
        <w:tcPr>
          <w:tcW w:w="4712" w:type="dxa"/>
          <w:tcBorders>
            <w:top w:val="nil"/>
            <w:left w:val="nil"/>
            <w:bottom w:val="nil"/>
            <w:right w:val="nil"/>
          </w:tcBorders>
        </w:tcPr>
        <w:p w14:paraId="35E9DD1D" w14:textId="77777777" w:rsidR="007C31C4" w:rsidRDefault="008224C9">
          <w:pPr>
            <w:spacing w:after="0" w:line="240" w:lineRule="auto"/>
            <w:ind w:hanging="2"/>
            <w:jc w:val="both"/>
            <w:rPr>
              <w:rFonts w:ascii="Times New Roman" w:eastAsia="Times New Roman" w:hAnsi="Times New Roman" w:cs="Times New Roman"/>
              <w:color w:val="0B2F63"/>
            </w:rPr>
          </w:pPr>
          <w:r>
            <w:rPr>
              <w:rFonts w:ascii="Times New Roman" w:eastAsia="Times New Roman" w:hAnsi="Times New Roman" w:cs="Times New Roman"/>
              <w:color w:val="0B2F63"/>
            </w:rPr>
            <w:t xml:space="preserve">Bd. </w:t>
          </w:r>
          <w:proofErr w:type="spellStart"/>
          <w:r>
            <w:rPr>
              <w:rFonts w:ascii="Times New Roman" w:eastAsia="Times New Roman" w:hAnsi="Times New Roman" w:cs="Times New Roman"/>
              <w:color w:val="0B2F63"/>
            </w:rPr>
            <w:t>Victoriei</w:t>
          </w:r>
          <w:proofErr w:type="spellEnd"/>
          <w:r>
            <w:rPr>
              <w:rFonts w:ascii="Times New Roman" w:eastAsia="Times New Roman" w:hAnsi="Times New Roman" w:cs="Times New Roman"/>
              <w:color w:val="0B2F63"/>
            </w:rPr>
            <w:t xml:space="preserve">, Nr. 10 </w:t>
          </w:r>
        </w:p>
        <w:p w14:paraId="67D45FB9" w14:textId="77777777" w:rsidR="007C31C4" w:rsidRDefault="008224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9540"/>
            </w:tabs>
            <w:spacing w:after="0" w:line="240" w:lineRule="auto"/>
            <w:ind w:hanging="2"/>
            <w:rPr>
              <w:rFonts w:ascii="Times New Roman" w:eastAsia="Times New Roman" w:hAnsi="Times New Roman" w:cs="Times New Roman"/>
              <w:color w:val="0B2F63"/>
            </w:rPr>
          </w:pPr>
          <w:r>
            <w:rPr>
              <w:rFonts w:ascii="Times New Roman" w:eastAsia="Times New Roman" w:hAnsi="Times New Roman" w:cs="Times New Roman"/>
              <w:color w:val="0B2F63"/>
            </w:rPr>
            <w:t xml:space="preserve">550024 Sibiu, </w:t>
          </w:r>
          <w:proofErr w:type="spellStart"/>
          <w:r>
            <w:rPr>
              <w:rFonts w:ascii="Times New Roman" w:eastAsia="Times New Roman" w:hAnsi="Times New Roman" w:cs="Times New Roman"/>
              <w:color w:val="0B2F63"/>
            </w:rPr>
            <w:t>România</w:t>
          </w:r>
          <w:proofErr w:type="spellEnd"/>
        </w:p>
        <w:p w14:paraId="59693344" w14:textId="77777777" w:rsidR="007C31C4" w:rsidRDefault="008224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9540"/>
            </w:tabs>
            <w:spacing w:after="0" w:line="240" w:lineRule="auto"/>
            <w:ind w:hanging="2"/>
            <w:rPr>
              <w:rFonts w:ascii="Times New Roman" w:eastAsia="Times New Roman" w:hAnsi="Times New Roman" w:cs="Times New Roman"/>
              <w:color w:val="0B2F63"/>
            </w:rPr>
          </w:pPr>
          <w:r>
            <w:rPr>
              <w:rFonts w:ascii="Times New Roman" w:eastAsia="Times New Roman" w:hAnsi="Times New Roman" w:cs="Times New Roman"/>
              <w:b/>
              <w:color w:val="0B2F63"/>
            </w:rPr>
            <w:t>international.ulbsibiu.ro</w:t>
          </w:r>
        </w:p>
        <w:p w14:paraId="33E0A998" w14:textId="77777777" w:rsidR="007C31C4" w:rsidRDefault="007C31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9540"/>
            </w:tabs>
            <w:spacing w:after="0" w:line="240" w:lineRule="auto"/>
            <w:ind w:hanging="2"/>
            <w:rPr>
              <w:rFonts w:ascii="Times New Roman" w:eastAsia="Times New Roman" w:hAnsi="Times New Roman" w:cs="Times New Roman"/>
              <w:color w:val="0B2F63"/>
            </w:rPr>
          </w:pPr>
        </w:p>
      </w:tc>
      <w:tc>
        <w:tcPr>
          <w:tcW w:w="4575" w:type="dxa"/>
          <w:tcBorders>
            <w:top w:val="nil"/>
            <w:left w:val="nil"/>
            <w:bottom w:val="nil"/>
            <w:right w:val="nil"/>
          </w:tcBorders>
        </w:tcPr>
        <w:p w14:paraId="4CD709A7" w14:textId="77777777" w:rsidR="007C31C4" w:rsidRDefault="008224C9">
          <w:pPr>
            <w:spacing w:after="0" w:line="240" w:lineRule="auto"/>
            <w:ind w:hanging="2"/>
            <w:jc w:val="right"/>
            <w:rPr>
              <w:rFonts w:ascii="Times New Roman" w:eastAsia="Times New Roman" w:hAnsi="Times New Roman" w:cs="Times New Roman"/>
              <w:color w:val="0B2F63"/>
            </w:rPr>
          </w:pPr>
          <w:r>
            <w:rPr>
              <w:rFonts w:ascii="Times New Roman" w:eastAsia="Times New Roman" w:hAnsi="Times New Roman" w:cs="Times New Roman"/>
              <w:color w:val="0B2F63"/>
            </w:rPr>
            <w:t>Tel.: +40 269 21.77.79, int. 129</w:t>
          </w:r>
        </w:p>
        <w:p w14:paraId="709A38E9" w14:textId="77777777" w:rsidR="007C31C4" w:rsidRDefault="008224C9">
          <w:pPr>
            <w:spacing w:after="0" w:line="240" w:lineRule="auto"/>
            <w:ind w:hanging="2"/>
            <w:jc w:val="right"/>
            <w:rPr>
              <w:rFonts w:ascii="Times New Roman" w:eastAsia="Times New Roman" w:hAnsi="Times New Roman" w:cs="Times New Roman"/>
              <w:color w:val="0B2F63"/>
            </w:rPr>
          </w:pPr>
          <w:r>
            <w:rPr>
              <w:rFonts w:ascii="Times New Roman" w:eastAsia="Times New Roman" w:hAnsi="Times New Roman" w:cs="Times New Roman"/>
              <w:color w:val="0B2F63"/>
            </w:rPr>
            <w:t>Fax: +40 269 21.05.12</w:t>
          </w:r>
        </w:p>
        <w:p w14:paraId="67863C67" w14:textId="77777777" w:rsidR="007C31C4" w:rsidRDefault="008224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9540"/>
            </w:tabs>
            <w:spacing w:after="0" w:line="240" w:lineRule="auto"/>
            <w:ind w:hanging="2"/>
            <w:jc w:val="right"/>
            <w:rPr>
              <w:rFonts w:ascii="Times New Roman" w:eastAsia="Times New Roman" w:hAnsi="Times New Roman" w:cs="Times New Roman"/>
              <w:color w:val="0B2F63"/>
            </w:rPr>
          </w:pPr>
          <w:r>
            <w:rPr>
              <w:rFonts w:ascii="Times New Roman" w:eastAsia="Times New Roman" w:hAnsi="Times New Roman" w:cs="Times New Roman"/>
              <w:color w:val="0B2F63"/>
            </w:rPr>
            <w:t>E-mail: international@ulbsibiu.ro</w:t>
          </w:r>
          <w:r>
            <w:rPr>
              <w:rFonts w:ascii="Times New Roman" w:eastAsia="Times New Roman" w:hAnsi="Times New Roman" w:cs="Times New Roman"/>
              <w:b/>
              <w:color w:val="0B2F63"/>
            </w:rPr>
            <w:t xml:space="preserve"> </w:t>
          </w:r>
        </w:p>
      </w:tc>
    </w:tr>
  </w:tbl>
  <w:p w14:paraId="4EDB8B87" w14:textId="77777777" w:rsidR="007C31C4" w:rsidRDefault="007C31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950F" w14:textId="77777777" w:rsidR="007C31C4" w:rsidRDefault="007C31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0329" w14:textId="77777777" w:rsidR="008224C9" w:rsidRDefault="008224C9">
      <w:pPr>
        <w:spacing w:after="0" w:line="240" w:lineRule="auto"/>
      </w:pPr>
      <w:r>
        <w:separator/>
      </w:r>
    </w:p>
  </w:footnote>
  <w:footnote w:type="continuationSeparator" w:id="0">
    <w:p w14:paraId="4F751239" w14:textId="77777777" w:rsidR="008224C9" w:rsidRDefault="008224C9">
      <w:pPr>
        <w:spacing w:after="0" w:line="240" w:lineRule="auto"/>
      </w:pPr>
      <w:r>
        <w:continuationSeparator/>
      </w:r>
    </w:p>
  </w:footnote>
  <w:footnote w:id="1">
    <w:p w14:paraId="2FF80A5F" w14:textId="77777777" w:rsidR="007C31C4" w:rsidRDefault="00822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instituțiilor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marcate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asterisc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prevă</w:t>
      </w:r>
      <w:r>
        <w:rPr>
          <w:rFonts w:ascii="Times New Roman" w:eastAsia="Times New Roman" w:hAnsi="Times New Roman" w:cs="Times New Roman"/>
          <w:sz w:val="20"/>
          <w:szCs w:val="20"/>
        </w:rPr>
        <w:t>zute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anexă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termenul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realizare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mobilităților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iulie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2025. </w:t>
      </w:r>
    </w:p>
  </w:footnote>
  <w:footnote w:id="2">
    <w:p w14:paraId="59B2AD09" w14:textId="77777777" w:rsidR="007C31C4" w:rsidRDefault="00822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personalul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deține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atestat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limbă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străină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nivel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minim B2,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testarea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lingvistică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avea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loc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 de 29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octombrie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sediul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Facultății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Litere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B5AC" w14:textId="77777777" w:rsidR="007C31C4" w:rsidRDefault="007C31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1935" w14:textId="77777777" w:rsidR="007C31C4" w:rsidRDefault="007C31C4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3"/>
      <w:tblW w:w="10314" w:type="dxa"/>
      <w:tblInd w:w="-618" w:type="dxa"/>
      <w:tblLayout w:type="fixed"/>
      <w:tblLook w:val="0000" w:firstRow="0" w:lastRow="0" w:firstColumn="0" w:lastColumn="0" w:noHBand="0" w:noVBand="0"/>
    </w:tblPr>
    <w:tblGrid>
      <w:gridCol w:w="3533"/>
      <w:gridCol w:w="6781"/>
    </w:tblGrid>
    <w:tr w:rsidR="007C31C4" w14:paraId="41C3F9FA" w14:textId="77777777">
      <w:trPr>
        <w:trHeight w:val="1191"/>
      </w:trPr>
      <w:tc>
        <w:tcPr>
          <w:tcW w:w="3533" w:type="dxa"/>
        </w:tcPr>
        <w:p w14:paraId="3F70DC59" w14:textId="77777777" w:rsidR="007C31C4" w:rsidRDefault="008224C9">
          <w:pPr>
            <w:spacing w:after="0" w:line="240" w:lineRule="auto"/>
            <w:ind w:left="1" w:hanging="3"/>
            <w:jc w:val="right"/>
            <w:rPr>
              <w:rFonts w:ascii="Helvetica Neue" w:eastAsia="Helvetica Neue" w:hAnsi="Helvetica Neue" w:cs="Helvetica Neue"/>
              <w:color w:val="244061"/>
              <w:sz w:val="26"/>
              <w:szCs w:val="26"/>
            </w:rPr>
          </w:pPr>
          <w:r>
            <w:rPr>
              <w:rFonts w:ascii="Helvetica Neue" w:eastAsia="Helvetica Neue" w:hAnsi="Helvetica Neue" w:cs="Helvetica Neue"/>
              <w:b/>
              <w:noProof/>
              <w:color w:val="0B2F63"/>
              <w:sz w:val="26"/>
              <w:szCs w:val="26"/>
            </w:rPr>
            <w:drawing>
              <wp:inline distT="0" distB="0" distL="114300" distR="114300" wp14:anchorId="51F9E56A" wp14:editId="7AE300D3">
                <wp:extent cx="2106295" cy="626745"/>
                <wp:effectExtent l="0" t="0" r="0" b="0"/>
                <wp:docPr id="13" name="image1.png" descr="LOGO-NOU_2020_coli ant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-NOU_2020_coli ante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295" cy="626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1" w:type="dxa"/>
        </w:tcPr>
        <w:p w14:paraId="67C210DB" w14:textId="77777777" w:rsidR="007C31C4" w:rsidRDefault="008224C9">
          <w:pPr>
            <w:spacing w:after="0" w:line="240" w:lineRule="auto"/>
            <w:ind w:hanging="2"/>
            <w:jc w:val="right"/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B2F63"/>
              <w:sz w:val="24"/>
              <w:szCs w:val="24"/>
            </w:rPr>
            <w:t>Universitatea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B2F63"/>
              <w:sz w:val="24"/>
              <w:szCs w:val="24"/>
            </w:rPr>
            <w:t xml:space="preserve"> „Lucian Blaga” din Sibiu</w:t>
          </w:r>
        </w:p>
        <w:p w14:paraId="1B0D8930" w14:textId="77777777" w:rsidR="007C31C4" w:rsidRDefault="008224C9">
          <w:pPr>
            <w:spacing w:after="0" w:line="240" w:lineRule="auto"/>
            <w:ind w:hanging="2"/>
            <w:jc w:val="right"/>
            <w:rPr>
              <w:rFonts w:ascii="Times New Roman" w:eastAsia="Times New Roman" w:hAnsi="Times New Roman" w:cs="Times New Roman"/>
              <w:color w:val="0B2F63"/>
              <w:sz w:val="23"/>
              <w:szCs w:val="23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B2F63"/>
              <w:sz w:val="23"/>
              <w:szCs w:val="23"/>
            </w:rPr>
            <w:t>Departamentul</w:t>
          </w:r>
          <w:proofErr w:type="spellEnd"/>
          <w:r>
            <w:rPr>
              <w:rFonts w:ascii="Times New Roman" w:eastAsia="Times New Roman" w:hAnsi="Times New Roman" w:cs="Times New Roman"/>
              <w:color w:val="0B2F63"/>
              <w:sz w:val="23"/>
              <w:szCs w:val="23"/>
            </w:rPr>
            <w:t xml:space="preserve"> de </w:t>
          </w:r>
          <w:proofErr w:type="spellStart"/>
          <w:r>
            <w:rPr>
              <w:rFonts w:ascii="Times New Roman" w:eastAsia="Times New Roman" w:hAnsi="Times New Roman" w:cs="Times New Roman"/>
              <w:color w:val="0B2F63"/>
              <w:sz w:val="23"/>
              <w:szCs w:val="23"/>
            </w:rPr>
            <w:t>Relații</w:t>
          </w:r>
          <w:proofErr w:type="spellEnd"/>
          <w:r>
            <w:rPr>
              <w:rFonts w:ascii="Times New Roman" w:eastAsia="Times New Roman" w:hAnsi="Times New Roman" w:cs="Times New Roman"/>
              <w:color w:val="0B2F63"/>
              <w:sz w:val="23"/>
              <w:szCs w:val="23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B2F63"/>
              <w:sz w:val="23"/>
              <w:szCs w:val="23"/>
            </w:rPr>
            <w:t>Internaționale</w:t>
          </w:r>
          <w:proofErr w:type="spellEnd"/>
        </w:p>
        <w:p w14:paraId="7154B1EE" w14:textId="77777777" w:rsidR="007C31C4" w:rsidRDefault="007C31C4">
          <w:pPr>
            <w:spacing w:after="0" w:line="240" w:lineRule="auto"/>
            <w:ind w:hanging="2"/>
            <w:jc w:val="right"/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</w:pPr>
        </w:p>
        <w:p w14:paraId="593AD9D7" w14:textId="77777777" w:rsidR="007C31C4" w:rsidRDefault="008224C9">
          <w:pPr>
            <w:spacing w:after="0" w:line="240" w:lineRule="auto"/>
            <w:ind w:hanging="2"/>
            <w:jc w:val="right"/>
            <w:rPr>
              <w:rFonts w:ascii="Times New Roman" w:eastAsia="Times New Roman" w:hAnsi="Times New Roman" w:cs="Times New Roman"/>
              <w:color w:val="244061"/>
              <w:sz w:val="26"/>
              <w:szCs w:val="26"/>
            </w:rPr>
          </w:pPr>
          <w:proofErr w:type="spellStart"/>
          <w:proofErr w:type="gramStart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>Serviciul</w:t>
          </w:r>
          <w:proofErr w:type="spellEnd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 xml:space="preserve">  ERASMUS</w:t>
          </w:r>
          <w:proofErr w:type="gramEnd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>+</w:t>
          </w:r>
        </w:p>
      </w:tc>
    </w:tr>
  </w:tbl>
  <w:p w14:paraId="1659C2BD" w14:textId="77777777" w:rsidR="007C31C4" w:rsidRDefault="00822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ind w:hanging="2"/>
      <w:rPr>
        <w:rFonts w:ascii="Helvetica Neue" w:eastAsia="Helvetica Neue" w:hAnsi="Helvetica Neue" w:cs="Helvetica Neue"/>
        <w:color w:val="0B2F63"/>
      </w:rPr>
    </w:pPr>
    <w:r>
      <w:rPr>
        <w:rFonts w:ascii="Helvetica Neue" w:eastAsia="Helvetica Neue" w:hAnsi="Helvetica Neue" w:cs="Helvetica Neue"/>
        <w:color w:val="0B2F63"/>
      </w:rPr>
      <w:t xml:space="preserve"> </w: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71A39F60" wp14:editId="2D26287A">
          <wp:extent cx="6391275" cy="85725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12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2755" w14:textId="77777777" w:rsidR="007C31C4" w:rsidRDefault="007C31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7B98"/>
    <w:multiLevelType w:val="multilevel"/>
    <w:tmpl w:val="A0CC606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⮚"/>
      <w:lvlJc w:val="left"/>
      <w:pPr>
        <w:ind w:left="143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987463"/>
    <w:multiLevelType w:val="multilevel"/>
    <w:tmpl w:val="9722741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2215E0"/>
    <w:multiLevelType w:val="multilevel"/>
    <w:tmpl w:val="EE083C0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C74B1A"/>
    <w:multiLevelType w:val="multilevel"/>
    <w:tmpl w:val="E6D2BAF4"/>
    <w:lvl w:ilvl="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2D28DC"/>
    <w:multiLevelType w:val="multilevel"/>
    <w:tmpl w:val="632A9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987C44"/>
    <w:multiLevelType w:val="multilevel"/>
    <w:tmpl w:val="37BC7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C4"/>
    <w:rsid w:val="00367263"/>
    <w:rsid w:val="007C31C4"/>
    <w:rsid w:val="0082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D6BD"/>
  <w15:docId w15:val="{C0060F55-19F9-4DE4-AA60-113FF36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100" w:hanging="274"/>
      <w:jc w:val="both"/>
      <w:outlineLvl w:val="2"/>
    </w:pPr>
    <w:rPr>
      <w:rFonts w:ascii="Georgia" w:eastAsia="Georgia" w:hAnsi="Georgia" w:cs="Georgi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1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1B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1B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243E2"/>
    <w:rPr>
      <w:color w:val="605E5C"/>
      <w:shd w:val="clear" w:color="auto" w:fill="E1DFDD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tKN7siAorLbHuVs5" TargetMode="External"/><Relationship Id="rId13" Type="http://schemas.openxmlformats.org/officeDocument/2006/relationships/hyperlink" Target="https://forms.gle/9c2WGQavua127Dn1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nat.ulbsibiu.ro/wp-content/uploads/260123/7_Regulament%20mobilitati%20Erasmus_Senat_ianuarie2023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nternational.ulbsibiu.ro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Q0yg3WdxZNAcsCrPESNId9xpA==">CgMxLjA4AHIhMXk3TzljUkZoaTVzSTBlbUVBNjB1STJpOXN0MWpGa1F3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Ungureanu</dc:creator>
  <cp:lastModifiedBy>Mariana Stan</cp:lastModifiedBy>
  <cp:revision>3</cp:revision>
  <dcterms:created xsi:type="dcterms:W3CDTF">2024-10-22T10:31:00Z</dcterms:created>
  <dcterms:modified xsi:type="dcterms:W3CDTF">2024-10-25T09:35:00Z</dcterms:modified>
</cp:coreProperties>
</file>