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ind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Către</w:t>
      </w:r>
      <w:r w:rsidDel="00000000" w:rsidR="00000000" w:rsidRPr="00000000">
        <w:rPr>
          <w:rtl w:val="0"/>
        </w:rPr>
      </w:r>
    </w:p>
    <w:p w:rsidR="00000000" w:rsidDel="00000000" w:rsidP="00000000" w:rsidRDefault="00000000" w:rsidRPr="00000000" w14:paraId="00000003">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color w:val="000000"/>
          <w:rtl w:val="0"/>
        </w:rPr>
        <w:t xml:space="preserve">Facultățile Universității  „Lucian Blaga” din Sibiu,</w:t>
      </w:r>
      <w:r w:rsidDel="00000000" w:rsidR="00000000" w:rsidRPr="00000000">
        <w:rPr>
          <w:rtl w:val="0"/>
        </w:rPr>
      </w:r>
    </w:p>
    <w:p w:rsidR="00000000" w:rsidDel="00000000" w:rsidP="00000000" w:rsidRDefault="00000000" w:rsidRPr="00000000" w14:paraId="00000004">
      <w:pPr>
        <w:spacing w:after="0" w:line="240" w:lineRule="auto"/>
        <w:ind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În atenţia: </w:t>
      </w:r>
      <w:r w:rsidDel="00000000" w:rsidR="00000000" w:rsidRPr="00000000">
        <w:rPr>
          <w:rtl w:val="0"/>
        </w:rPr>
      </w:r>
    </w:p>
    <w:p w:rsidR="00000000" w:rsidDel="00000000" w:rsidP="00000000" w:rsidRDefault="00000000" w:rsidRPr="00000000" w14:paraId="00000006">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Doamnei/ Domnului Decan,</w:t>
      </w:r>
      <w:r w:rsidDel="00000000" w:rsidR="00000000" w:rsidRPr="00000000">
        <w:rPr>
          <w:rtl w:val="0"/>
        </w:rPr>
      </w:r>
    </w:p>
    <w:p w:rsidR="00000000" w:rsidDel="00000000" w:rsidP="00000000" w:rsidRDefault="00000000" w:rsidRPr="00000000" w14:paraId="00000007">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Doamnei Prodecan / Domnului Prodecan,</w:t>
      </w:r>
      <w:r w:rsidDel="00000000" w:rsidR="00000000" w:rsidRPr="00000000">
        <w:rPr>
          <w:rtl w:val="0"/>
        </w:rPr>
      </w:r>
    </w:p>
    <w:p w:rsidR="00000000" w:rsidDel="00000000" w:rsidP="00000000" w:rsidRDefault="00000000" w:rsidRPr="00000000" w14:paraId="00000008">
      <w:pPr>
        <w:spacing w:after="0" w:line="240" w:lineRule="auto"/>
        <w:ind w:left="3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i w:val="1"/>
          <w:iCs w:val="1"/>
          <w:rtl w:val="0"/>
        </w:rPr>
        <w:t xml:space="preserve">Coordonatorilor Erasmus+,</w:t>
      </w:r>
      <w:r w:rsidDel="00000000" w:rsidR="00000000" w:rsidRPr="00000000">
        <w:rPr>
          <w:rtl w:val="0"/>
        </w:rPr>
      </w:r>
    </w:p>
    <w:p w:rsidR="00000000" w:rsidDel="00000000" w:rsidP="00000000" w:rsidRDefault="00000000" w:rsidRPr="00000000" w14:paraId="00000009">
      <w:pPr>
        <w:spacing w:after="0" w:line="240" w:lineRule="auto"/>
        <w:ind w:left="36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i w:val="1"/>
          <w:iCs w:val="1"/>
          <w:rtl w:val="0"/>
        </w:rPr>
        <w:t xml:space="preserve">Directorilor de Departament,</w:t>
      </w:r>
      <w:r w:rsidDel="00000000" w:rsidR="00000000" w:rsidRPr="00000000">
        <w:rPr>
          <w:rFonts w:ascii="Times New Roman" w:cs="Times New Roman" w:eastAsia="Times New Roman" w:hAnsi="Times New Roman"/>
          <w:b w:val="1"/>
          <w:bCs w:val="1"/>
          <w:rtl w:val="0"/>
        </w:rPr>
        <w:tab/>
      </w:r>
    </w:p>
    <w:p w:rsidR="00000000" w:rsidDel="00000000" w:rsidP="00000000" w:rsidRDefault="00000000" w:rsidRPr="00000000" w14:paraId="0000000A">
      <w:pPr>
        <w:spacing w:after="0" w:line="240" w:lineRule="auto"/>
        <w:ind w:left="360" w:firstLine="0"/>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B">
      <w:pPr>
        <w:spacing w:after="0" w:before="120" w:lineRule="auto"/>
        <w:ind w:left="360" w:firstLine="0"/>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În vederea realizării mobilităţilor de predare (STA) în cadrul programului Erasmus+ cu țări terțe care nu sunt asociate la program (non-EU): </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20" w:line="276" w:lineRule="auto"/>
        <w:ind w:left="720" w:right="116"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Toate mobilitățile Erasmus+ STA outgoing se organizează și se desfășoară pe baza unui proces de selecție, la care au dreptul să participe toți membrii comunității academice ULBS care îndeplinesc condițiile de eligibilitate. </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116"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Selecția participanților la mobilități STA Erasmus+ cu țărți terțe care nu sunt asociate la program (non-EU) se organizează la nivelul Serviciului Erasmu</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conform adresei de selecție transmise. </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116"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În conformitate cu politica EWP, toate activitățile legate de selecția candidaților se desfășoară online, cu excepția, eventual, a întâlnirilor comisiilor de selecție și de contestații.</w:t>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116"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Dosarele de candidatură ale personalului didactic se transmit în format electronic, folosind formularul alăturat: </w:t>
      </w:r>
      <w:hyperlink r:id="rId8">
        <w:r w:rsidDel="00000000" w:rsidR="00000000" w:rsidRPr="00000000">
          <w:rPr>
            <w:rFonts w:ascii="Times New Roman" w:cs="Times New Roman" w:eastAsia="Times New Roman" w:hAnsi="Times New Roman"/>
            <w:b w:val="1"/>
            <w:bCs w:val="1"/>
            <w:i w:val="0"/>
            <w:iCs w:val="0"/>
            <w:smallCaps w:val="0"/>
            <w:strike w:val="0"/>
            <w:color w:val="1155cc"/>
            <w:sz w:val="22"/>
            <w:szCs w:val="22"/>
            <w:u w:val="single"/>
            <w:shd w:fill="auto" w:val="clear"/>
            <w:vertAlign w:val="baseline"/>
            <w:rtl w:val="0"/>
          </w:rPr>
          <w:t xml:space="preserve">https://forms.gle/5NXD7b9byUK3kVHN9</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116"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Fiecare dosar va primi un număr de înregistrare.</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116"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Candidații vor depune dosare de candidatură distincte în eventualitatea în care optează pentru mai multe tipuri de mobilitate. (UE/ NON-EU)</w:t>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116"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Selecția candidaților constă în analiza dosarelor acestora. Fiecare candidatură este evaluată și notată în baza criteriilor specifice tipului de mobilitate pentru care se face selecția. Candidații sunt ierarhizați în urma punctajelor obținute, în limita locurilor disponibile. În cazul în care există mai mulți candidați cu punctajul de concurs egal, departajarea se face în funcție de scrisoarea de motivație.</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116"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Rezultatele selecției se comunică anonimizat, pe site-ul Departamentului de Relații Internaționale</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hyperlink r:id="rId9">
        <w:r w:rsidDel="00000000" w:rsidR="00000000" w:rsidRPr="00000000">
          <w:rPr>
            <w:rFonts w:ascii="Times New Roman" w:cs="Times New Roman" w:eastAsia="Times New Roman" w:hAnsi="Times New Roman"/>
            <w:b w:val="0"/>
            <w:bCs w:val="0"/>
            <w:i w:val="0"/>
            <w:iCs w:val="0"/>
            <w:smallCaps w:val="0"/>
            <w:strike w:val="0"/>
            <w:color w:val="0070c0"/>
            <w:sz w:val="22"/>
            <w:szCs w:val="22"/>
            <w:u w:val="single"/>
            <w:shd w:fill="auto" w:val="clear"/>
            <w:vertAlign w:val="baseline"/>
            <w:rtl w:val="0"/>
          </w:rPr>
          <w:t xml:space="preserve">http://international.ulbsibiu.ro</w:t>
        </w:r>
      </w:hyperlink>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Acestea vor fi afișate pe următoarele categorii de liste: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116"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115"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lista candidaților selectați pe locuri cu suport financiar Erasmus+ sau „zero grant”, repartizați în funcție de universitatea de destinație;</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115"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lista candidaților în așteptare, care au obținut un punctaj general de concurs de minim 60 și care pot glisa după eventuala renunțare a candidaților selectați inițial;</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115"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lista candidaților respinși.</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115"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116"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Eventualele contestații cu privire la procesul de selecție vor fi depuse, în format electronic, în termen de 24 de ore de la afișarea listelor cu rezultate și vor fi soluționate de comisia de contestații. Termenul de contestare va fi precizat odată cu afișarea listelor cu rezultatele selecției.</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116"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Rezultatele finale ale selecției vor fi anunțate pe site-ul Departamentului de Relații Internaționale în termen de maxim 24 de ore de la încheierea perioadei de contestații.</w:t>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0" w:before="240" w:lineRule="auto"/>
        <w:ind w:right="1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Candidații selectați sunt informați asupra faptului că nominalizarea către o anumită universitate nu garantează automat și obținerea invitației. În asemenea situații, participanții la mobilitate sunt contactați și ghidați de </w:t>
      </w:r>
      <w:r w:rsidDel="00000000" w:rsidR="00000000" w:rsidRPr="00000000">
        <w:rPr>
          <w:rFonts w:ascii="Times New Roman" w:cs="Times New Roman" w:eastAsia="Times New Roman" w:hAnsi="Times New Roman"/>
          <w:rtl w:val="0"/>
        </w:rPr>
        <w:t xml:space="preserve">Serviciul </w:t>
      </w:r>
      <w:r w:rsidDel="00000000" w:rsidR="00000000" w:rsidRPr="00000000">
        <w:rPr>
          <w:rFonts w:ascii="Times New Roman" w:cs="Times New Roman" w:eastAsia="Times New Roman" w:hAnsi="Times New Roman"/>
          <w:color w:val="000000"/>
          <w:rtl w:val="0"/>
        </w:rPr>
        <w:t xml:space="preserve">E+ în vederea găsirii unei alternative.</w:t>
      </w: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after="0" w:before="240" w:line="240" w:lineRule="auto"/>
        <w:ind w:right="116"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Regulamentul Erasmus+ poate fi consultat la următorul link: </w:t>
      </w:r>
      <w:hyperlink r:id="rId10">
        <w:r w:rsidDel="00000000" w:rsidR="00000000" w:rsidRPr="00000000">
          <w:rPr>
            <w:rFonts w:ascii="Times New Roman" w:cs="Times New Roman" w:eastAsia="Times New Roman" w:hAnsi="Times New Roman"/>
            <w:color w:val="000000"/>
            <w:u w:val="single"/>
            <w:rtl w:val="0"/>
          </w:rPr>
          <w:t xml:space="preserve">https://senat.ulbsibiu.ro/wp-content/uploads/260123/7_Regulament%20mobilitati%20Erasmus_Senat_ianuarie2023.pdf</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after="0" w:before="240" w:lineRule="auto"/>
        <w:ind w:right="116" w:firstLine="0"/>
        <w:jc w:val="both"/>
        <w:rPr>
          <w:rFonts w:ascii="Times New Roman" w:cs="Times New Roman" w:eastAsia="Times New Roman" w:hAnsi="Times New Roman"/>
          <w:b w:val="1"/>
          <w:bCs w:val="1"/>
          <w:i w:val="1"/>
          <w:iCs w:val="1"/>
          <w:color w:val="ff0000"/>
          <w:sz w:val="24"/>
          <w:szCs w:val="24"/>
        </w:rPr>
      </w:pPr>
      <w:r w:rsidDel="00000000" w:rsidR="00000000" w:rsidRPr="00000000">
        <w:rPr>
          <w:rFonts w:ascii="Times New Roman" w:cs="Times New Roman" w:eastAsia="Times New Roman" w:hAnsi="Times New Roman"/>
          <w:b w:val="1"/>
          <w:bCs w:val="1"/>
          <w:i w:val="1"/>
          <w:iCs w:val="1"/>
          <w:color w:val="ff0000"/>
          <w:sz w:val="24"/>
          <w:szCs w:val="24"/>
          <w:rtl w:val="0"/>
        </w:rPr>
        <w:t xml:space="preserve">Termenul de realizare a mobilităților este 18 decembrie 2026! </w:t>
      </w:r>
      <w:r w:rsidDel="00000000" w:rsidR="00000000" w:rsidRPr="00000000">
        <w:rPr>
          <w:rFonts w:ascii="Times New Roman" w:cs="Times New Roman" w:eastAsia="Times New Roman" w:hAnsi="Times New Roman"/>
          <w:b w:val="1"/>
          <w:bCs w:val="1"/>
          <w:color w:val="ff0000"/>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after="0" w:before="240" w:lineRule="auto"/>
        <w:ind w:right="116" w:firstLine="0"/>
        <w:jc w:val="both"/>
        <w:rPr>
          <w:rFonts w:ascii="Times New Roman" w:cs="Times New Roman" w:eastAsia="Times New Roman" w:hAnsi="Times New Roman"/>
          <w:b w:val="1"/>
          <w:bCs w:val="1"/>
          <w:i w:val="1"/>
          <w:iCs w:val="1"/>
          <w:color w:val="ff0000"/>
          <w:sz w:val="24"/>
          <w:szCs w:val="24"/>
        </w:rPr>
      </w:pPr>
      <w:r w:rsidDel="00000000" w:rsidR="00000000" w:rsidRPr="00000000">
        <w:rPr>
          <w:rtl w:val="0"/>
        </w:rPr>
      </w:r>
    </w:p>
    <w:p w:rsidR="00000000" w:rsidDel="00000000" w:rsidP="00000000" w:rsidRDefault="00000000" w:rsidRPr="00000000" w14:paraId="0000001F">
      <w:pPr>
        <w:ind w:hanging="2"/>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color w:val="000000"/>
          <w:rtl w:val="0"/>
        </w:rPr>
        <w:t xml:space="preserve">I. BAREME APLICABILE PENTRU MOBILITĂȚILE ERASMUS+ CU </w:t>
      </w:r>
      <w:r w:rsidDel="00000000" w:rsidR="00000000" w:rsidRPr="00000000">
        <w:rPr>
          <w:rFonts w:ascii="Times New Roman" w:cs="Times New Roman" w:eastAsia="Times New Roman" w:hAnsi="Times New Roman"/>
          <w:b w:val="1"/>
          <w:bCs w:val="1"/>
          <w:rtl w:val="0"/>
        </w:rPr>
        <w:t xml:space="preserve">ȚĂRI TERȚE CARE NU SUNT ASOCIATE LA PROGRAM (NON-EU)</w:t>
      </w:r>
    </w:p>
    <w:p w:rsidR="00000000" w:rsidDel="00000000" w:rsidP="00000000" w:rsidRDefault="00000000" w:rsidRPr="00000000" w14:paraId="00000020">
      <w:pPr>
        <w:ind w:hanging="2"/>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 Sprijin individual</w:t>
      </w:r>
    </w:p>
    <w:tbl>
      <w:tblPr>
        <w:tblStyle w:val="Table1"/>
        <w:tblW w:w="779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2"/>
        <w:gridCol w:w="2947"/>
        <w:gridCol w:w="2948"/>
        <w:tblGridChange w:id="0">
          <w:tblGrid>
            <w:gridCol w:w="1902"/>
            <w:gridCol w:w="2947"/>
            <w:gridCol w:w="2948"/>
          </w:tblGrid>
        </w:tblGridChange>
      </w:tblGrid>
      <w:tr>
        <w:trPr>
          <w:cantSplit w:val="0"/>
          <w:trHeight w:val="284" w:hRule="atLeast"/>
          <w:tblHeader w:val="0"/>
        </w:trPr>
        <w:tc>
          <w:tcPr>
            <w:shd w:fill="d9d9d9" w:val="clear"/>
          </w:tcPr>
          <w:p w:rsidR="00000000" w:rsidDel="00000000" w:rsidP="00000000" w:rsidRDefault="00000000" w:rsidRPr="00000000" w14:paraId="00000021">
            <w:pPr>
              <w:spacing w:line="276" w:lineRule="auto"/>
              <w:ind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Dinspre</w:t>
            </w:r>
          </w:p>
        </w:tc>
        <w:tc>
          <w:tcPr>
            <w:shd w:fill="d9d9d9" w:val="clear"/>
          </w:tcPr>
          <w:p w:rsidR="00000000" w:rsidDel="00000000" w:rsidP="00000000" w:rsidRDefault="00000000" w:rsidRPr="00000000" w14:paraId="00000022">
            <w:pPr>
              <w:spacing w:line="276" w:lineRule="auto"/>
              <w:ind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Către</w:t>
            </w:r>
          </w:p>
        </w:tc>
        <w:tc>
          <w:tcPr>
            <w:shd w:fill="d9d9d9" w:val="clear"/>
          </w:tcPr>
          <w:p w:rsidR="00000000" w:rsidDel="00000000" w:rsidP="00000000" w:rsidRDefault="00000000" w:rsidRPr="00000000" w14:paraId="00000023">
            <w:pPr>
              <w:spacing w:line="276" w:lineRule="auto"/>
              <w:ind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Suma pe zi în EUR</w:t>
            </w:r>
          </w:p>
        </w:tc>
      </w:tr>
      <w:tr>
        <w:trPr>
          <w:cantSplit w:val="0"/>
          <w:trHeight w:val="821" w:hRule="atLeast"/>
          <w:tblHeader w:val="0"/>
        </w:trPr>
        <w:tc>
          <w:tcPr/>
          <w:p w:rsidR="00000000" w:rsidDel="00000000" w:rsidP="00000000" w:rsidRDefault="00000000" w:rsidRPr="00000000" w14:paraId="00000024">
            <w:pPr>
              <w:spacing w:line="276"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spacing w:line="276" w:lineRule="auto"/>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România</w:t>
            </w:r>
          </w:p>
        </w:tc>
        <w:tc>
          <w:tcPr/>
          <w:p w:rsidR="00000000" w:rsidDel="00000000" w:rsidP="00000000" w:rsidRDefault="00000000" w:rsidRPr="00000000" w14:paraId="00000026">
            <w:pPr>
              <w:spacing w:line="276" w:lineRule="auto"/>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Țări terțe care nu sunt asociate la program din regiunile 1-12</w:t>
            </w:r>
          </w:p>
        </w:tc>
        <w:tc>
          <w:tcPr/>
          <w:p w:rsidR="00000000" w:rsidDel="00000000" w:rsidP="00000000" w:rsidRDefault="00000000" w:rsidRPr="00000000" w14:paraId="00000027">
            <w:pPr>
              <w:spacing w:line="276" w:lineRule="auto"/>
              <w:ind w:firstLine="0"/>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276" w:lineRule="auto"/>
              <w:ind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w:t>
            </w:r>
          </w:p>
        </w:tc>
      </w:tr>
    </w:tbl>
    <w:p w:rsidR="00000000" w:rsidDel="00000000" w:rsidP="00000000" w:rsidRDefault="00000000" w:rsidRPr="00000000" w14:paraId="00000029">
      <w:pPr>
        <w:widowControl w:val="0"/>
        <w:pBdr>
          <w:between w:space="0" w:sz="0" w:val="nil"/>
        </w:pBdr>
        <w:spacing w:after="0" w:before="4"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0" w:lineRule="auto"/>
        <w:ind w:right="1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 Transport</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B">
      <w:pPr>
        <w:widowControl w:val="0"/>
        <w:spacing w:after="0" w:before="4"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conformitate cu regulile </w:t>
      </w:r>
      <w:r w:rsidDel="00000000" w:rsidR="00000000" w:rsidRPr="00000000">
        <w:rPr>
          <w:rFonts w:ascii="Times New Roman" w:cs="Times New Roman" w:eastAsia="Times New Roman" w:hAnsi="Times New Roman"/>
          <w:b w:val="1"/>
          <w:bCs w:val="1"/>
          <w:i w:val="1"/>
          <w:iCs w:val="1"/>
          <w:rtl w:val="0"/>
        </w:rPr>
        <w:t xml:space="preserve">Programului Erasmus+ cu țări terțe care nu sunt asociate la Program (non-EU),</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granturile sunt fixate în funcție de țara de destinație. </w:t>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after="0" w:lineRule="auto"/>
        <w:ind w:right="1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5086666" cy="1533620"/>
            <wp:effectExtent b="0" l="0" r="0" t="0"/>
            <wp:docPr id="21" name="image2.png"/>
            <a:graphic>
              <a:graphicData uri="http://schemas.openxmlformats.org/drawingml/2006/picture">
                <pic:pic>
                  <pic:nvPicPr>
                    <pic:cNvPr id="0" name="image2.png"/>
                    <pic:cNvPicPr preferRelativeResize="0"/>
                  </pic:nvPicPr>
                  <pic:blipFill>
                    <a:blip r:embed="rId11"/>
                    <a:srcRect b="0" l="0" r="2871" t="12058"/>
                    <a:stretch>
                      <a:fillRect/>
                    </a:stretch>
                  </pic:blipFill>
                  <pic:spPr>
                    <a:xfrm>
                      <a:off x="0" y="0"/>
                      <a:ext cx="5086666" cy="153362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widowControl w:val="0"/>
        <w:spacing w:after="0" w:lineRule="auto"/>
        <w:ind w:right="1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Nota bene</w:t>
      </w:r>
      <w:r w:rsidDel="00000000" w:rsidR="00000000" w:rsidRPr="00000000">
        <w:rPr>
          <w:rFonts w:ascii="Times New Roman" w:cs="Times New Roman" w:eastAsia="Times New Roman" w:hAnsi="Times New Roman"/>
          <w:rtl w:val="0"/>
        </w:rPr>
        <w:t xml:space="preserve">: „distanța de călătorie” reprezintă distanța dintre locul de origine și locul de desfășurare a activității, în timp ce termenul „suma” reprezintă grantul pentru deplasarea atât înspre locul desfășurare a activității, cât și retur.</w:t>
      </w:r>
    </w:p>
    <w:p w:rsidR="00000000" w:rsidDel="00000000" w:rsidP="00000000" w:rsidRDefault="00000000" w:rsidRPr="00000000" w14:paraId="0000002E">
      <w:pPr>
        <w:widowControl w:val="0"/>
        <w:spacing w:after="0" w:lineRule="auto"/>
        <w:ind w:right="116"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widowControl w:val="0"/>
        <w:spacing w:after="0" w:lineRule="auto"/>
        <w:ind w:right="116"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Participanții la mobilitatea personalului pot primi până la maximum 2 zile de sprijin individual suplimentar (pentru o zi de transport înainte de activitate și o zi de transport după activitate) necesare efectuării călătoriei dus - întors.</w:t>
      </w:r>
    </w:p>
    <w:p w:rsidR="00000000" w:rsidDel="00000000" w:rsidP="00000000" w:rsidRDefault="00000000" w:rsidRPr="00000000" w14:paraId="00000030">
      <w:pPr>
        <w:spacing w:after="0" w:before="120" w:lineRule="auto"/>
        <w:ind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II. SELECŢIA PERSONALULUI ULBS PENTRU O MOBILITATE STA</w:t>
      </w:r>
    </w:p>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after="0" w:before="120" w:lineRule="auto"/>
        <w:ind w:right="116"/>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Personalul eligibil pentru obținerea unei mobilități STA cuprinde toate cadrele didactice angajate cu normă întreagă și cadrele didactice asociate ale ULBS, cu condiția ca acestea să aibă o relație contractuală de natură didactică cu ULBS atât în momentul selecției, cât și pe parcursul efectuării mobilității. </w:t>
      </w:r>
      <w:r w:rsidDel="00000000" w:rsidR="00000000" w:rsidRPr="00000000">
        <w:rPr>
          <w:rFonts w:ascii="Times New Roman" w:cs="Times New Roman" w:eastAsia="Times New Roman" w:hAnsi="Times New Roman"/>
          <w:b w:val="1"/>
          <w:bCs w:val="1"/>
          <w:color w:val="222222"/>
          <w:highlight w:val="white"/>
          <w:rtl w:val="0"/>
        </w:rPr>
        <w:t xml:space="preserve">De asemenea, doctoranzii care desfășoară activitate didactică au posibilitatea de a efectua mobilități STA, cazuri în care organizarea acestor mobilități se va desfășura conform</w:t>
      </w:r>
      <w:r w:rsidDel="00000000" w:rsidR="00000000" w:rsidRPr="00000000">
        <w:rPr>
          <w:rFonts w:ascii="Times New Roman" w:cs="Times New Roman" w:eastAsia="Times New Roman" w:hAnsi="Times New Roman"/>
          <w:b w:val="1"/>
          <w:bCs w:val="1"/>
          <w:highlight w:val="white"/>
          <w:rtl w:val="0"/>
        </w:rPr>
        <w:t xml:space="preserve"> criteriilor de eligibilitate și modalităților descrise mai jos. </w:t>
      </w:r>
      <w:r w:rsidDel="00000000" w:rsidR="00000000" w:rsidRPr="00000000">
        <w:rPr>
          <w:rtl w:val="0"/>
        </w:rPr>
      </w:r>
    </w:p>
    <w:p w:rsidR="00000000" w:rsidDel="00000000" w:rsidP="00000000" w:rsidRDefault="00000000" w:rsidRPr="00000000" w14:paraId="00000032">
      <w:pPr>
        <w:spacing w:before="120" w:lineRule="auto"/>
        <w:ind w:hanging="2"/>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Se acordă prioritate cadrelor didactice care aplică pentru prima dată în cadrul programului Erasmus+, precum și acelor mobilități care contribuie la consolidarea și extinderea legăturilor între catedre și facultăți și care vor pregăti noi proiecte de cooperare (prin punctajul suplimentar acordat conform fișei de evaluare din</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Anexa 16</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la Regulament).</w:t>
      </w:r>
      <w:r w:rsidDel="00000000" w:rsidR="00000000" w:rsidRPr="00000000">
        <w:rPr>
          <w:rtl w:val="0"/>
        </w:rPr>
      </w:r>
    </w:p>
    <w:p w:rsidR="00000000" w:rsidDel="00000000" w:rsidP="00000000" w:rsidRDefault="00000000" w:rsidRPr="00000000" w14:paraId="00000033">
      <w:pPr>
        <w:spacing w:after="0" w:lineRule="auto"/>
        <w:ind w:hanging="2"/>
        <w:jc w:val="both"/>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Criterii de eligibilitate</w:t>
      </w:r>
    </w:p>
    <w:p w:rsidR="00000000" w:rsidDel="00000000" w:rsidP="00000000" w:rsidRDefault="00000000" w:rsidRPr="00000000" w14:paraId="00000034">
      <w:pPr>
        <w:spacing w:after="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cadru didactic cu normă întreagă sau asociat al ULBS (pe baza unui raport contractual);</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76" w:lineRule="auto"/>
        <w:ind w:left="718"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certificat / atestat de limbă străină, emis de instituții autorizate cu nivel minim B2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Pr>
        <w:footnoteReference w:customMarkFollows="0" w:id="1"/>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7">
      <w:pPr>
        <w:spacing w:after="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after="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În vederea participării la procesul de selecție, aplicanții transmit online la Serviciul Erasmus+ </w:t>
      </w:r>
      <w:r w:rsidDel="00000000" w:rsidR="00000000" w:rsidRPr="00000000">
        <w:rPr>
          <w:rFonts w:ascii="Times New Roman" w:cs="Times New Roman" w:eastAsia="Times New Roman" w:hAnsi="Times New Roman"/>
          <w:b w:val="1"/>
          <w:bCs w:val="1"/>
          <w:rtl w:val="0"/>
        </w:rPr>
        <w:t xml:space="preserve"> (</w:t>
      </w:r>
      <w:hyperlink r:id="rId12">
        <w:r w:rsidDel="00000000" w:rsidR="00000000" w:rsidRPr="00000000">
          <w:rPr>
            <w:rFonts w:ascii="Times New Roman" w:cs="Times New Roman" w:eastAsia="Times New Roman" w:hAnsi="Times New Roman"/>
            <w:b w:val="1"/>
            <w:bCs w:val="1"/>
            <w:color w:val="1155cc"/>
            <w:u w:val="single"/>
            <w:rtl w:val="0"/>
          </w:rPr>
          <w:t xml:space="preserve">https://forms.gle/5NXD7b9byUK3kVHN9</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  un dosar ce conține: </w:t>
      </w:r>
    </w:p>
    <w:p w:rsidR="00000000" w:rsidDel="00000000" w:rsidP="00000000" w:rsidRDefault="00000000" w:rsidRPr="00000000" w14:paraId="00000039">
      <w:pPr>
        <w:spacing w:after="0" w:lineRule="auto"/>
        <w:ind w:left="-2"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formular de eligibilitate și de înscriere</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personalului ULBS pentru o mobilitate STA (Anexa 15); </w:t>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curriculum vitae - tehnoredactat în limba engleză;</w:t>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scrisoare de intenție - tehnoredactată în limba engleză</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draft - acord de predare; </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certificat / atestat de limbă străină, emis de instituții autorizate cu nivel minim B2;</w:t>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diplome relevante și certificate profesionale (opțional).</w:t>
      </w:r>
    </w:p>
    <w:p w:rsidR="00000000" w:rsidDel="00000000" w:rsidP="00000000" w:rsidRDefault="00000000" w:rsidRPr="00000000" w14:paraId="00000040">
      <w:pPr>
        <w:spacing w:after="0" w:lineRule="auto"/>
        <w:ind w:hanging="2"/>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41">
      <w:pPr>
        <w:spacing w:after="0" w:lineRule="auto"/>
        <w:ind w:hanging="2"/>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CALENDARUL PROCESULUI  DE SELECȚIE</w:t>
      </w:r>
    </w:p>
    <w:p w:rsidR="00000000" w:rsidDel="00000000" w:rsidP="00000000" w:rsidRDefault="00000000" w:rsidRPr="00000000" w14:paraId="00000042">
      <w:pPr>
        <w:spacing w:after="0" w:lineRule="auto"/>
        <w:ind w:hanging="2"/>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43">
      <w:pPr>
        <w:numPr>
          <w:ilvl w:val="0"/>
          <w:numId w:val="6"/>
        </w:numPr>
        <w:pBdr>
          <w:top w:space="0" w:sz="0" w:val="nil"/>
          <w:left w:space="0" w:sz="0" w:val="nil"/>
          <w:bottom w:space="0" w:sz="0" w:val="nil"/>
          <w:right w:space="0" w:sz="0" w:val="nil"/>
          <w:between w:space="0" w:sz="0" w:val="nil"/>
        </w:pBdr>
        <w:spacing w:after="0" w:lineRule="auto"/>
        <w:ind w:left="720" w:hanging="360"/>
        <w:jc w:val="both"/>
        <w:rPr>
          <w:rFonts w:ascii="Times New Roman" w:cs="Times New Roman" w:eastAsia="Times New Roman" w:hAnsi="Times New Roman"/>
          <w:b w:val="1"/>
          <w:bCs w:val="1"/>
          <w:u w:val="none"/>
        </w:rPr>
      </w:pPr>
      <w:r w:rsidDel="00000000" w:rsidR="00000000" w:rsidRPr="00000000">
        <w:rPr>
          <w:rFonts w:ascii="Times New Roman" w:cs="Times New Roman" w:eastAsia="Times New Roman" w:hAnsi="Times New Roman"/>
          <w:b w:val="1"/>
          <w:bCs w:val="1"/>
          <w:rtl w:val="0"/>
        </w:rPr>
        <w:t xml:space="preserve">Diseminare: 12- 19 noiembrie 2025</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sz w:val="22"/>
          <w:szCs w:val="22"/>
          <w:highlight w:val="white"/>
          <w:vertAlign w:val="baseline"/>
        </w:rPr>
      </w:pPr>
      <w:r w:rsidDel="00000000" w:rsidR="00000000" w:rsidRPr="00000000">
        <w:rPr>
          <w:rFonts w:ascii="Times New Roman" w:cs="Times New Roman" w:eastAsia="Times New Roman" w:hAnsi="Times New Roman"/>
          <w:b w:val="1"/>
          <w:bCs w:val="1"/>
          <w:i w:val="0"/>
          <w:iCs w:val="0"/>
          <w:smallCaps w:val="0"/>
          <w:strike w:val="0"/>
          <w:sz w:val="22"/>
          <w:szCs w:val="22"/>
          <w:u w:val="none"/>
          <w:shd w:fill="auto" w:val="clear"/>
          <w:vertAlign w:val="baseline"/>
          <w:rtl w:val="0"/>
        </w:rPr>
        <w:t xml:space="preserve">Etapa I:</w:t>
      </w:r>
      <w:r w:rsidDel="00000000" w:rsidR="00000000" w:rsidRPr="00000000">
        <w:rPr>
          <w:rFonts w:ascii="Times New Roman" w:cs="Times New Roman" w:eastAsia="Times New Roman" w:hAnsi="Times New Roman"/>
          <w:b w:val="0"/>
          <w:bCs w:val="0"/>
          <w:i w:val="0"/>
          <w:iCs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sz w:val="22"/>
          <w:szCs w:val="22"/>
          <w:highlight w:val="white"/>
          <w:u w:val="none"/>
          <w:vertAlign w:val="baseline"/>
          <w:rtl w:val="0"/>
        </w:rPr>
        <w:t xml:space="preserve">20 - 30 noiembrie 2025 </w:t>
      </w:r>
      <w:r w:rsidDel="00000000" w:rsidR="00000000" w:rsidRPr="00000000">
        <w:rPr>
          <w:rFonts w:ascii="Times New Roman" w:cs="Times New Roman" w:eastAsia="Times New Roman" w:hAnsi="Times New Roman"/>
          <w:b w:val="0"/>
          <w:bCs w:val="0"/>
          <w:i w:val="0"/>
          <w:iCs w:val="0"/>
          <w:smallCaps w:val="0"/>
          <w:strike w:val="0"/>
          <w:sz w:val="22"/>
          <w:szCs w:val="22"/>
          <w:u w:val="none"/>
          <w:shd w:fill="auto" w:val="clear"/>
          <w:vertAlign w:val="baseline"/>
          <w:rtl w:val="0"/>
        </w:rPr>
        <w:t xml:space="preserve">– transmiterea electronică a dosarelor de candidatură la Serviciul </w:t>
      </w:r>
      <w:r w:rsidDel="00000000" w:rsidR="00000000" w:rsidRPr="00000000">
        <w:rPr>
          <w:rFonts w:ascii="Times New Roman" w:cs="Times New Roman" w:eastAsia="Times New Roman" w:hAnsi="Times New Roman"/>
          <w:b w:val="0"/>
          <w:bCs w:val="0"/>
          <w:i w:val="0"/>
          <w:iCs w:val="0"/>
          <w:smallCaps w:val="0"/>
          <w:strike w:val="0"/>
          <w:sz w:val="22"/>
          <w:szCs w:val="22"/>
          <w:highlight w:val="white"/>
          <w:u w:val="none"/>
          <w:vertAlign w:val="baseline"/>
          <w:rtl w:val="0"/>
        </w:rPr>
        <w:t xml:space="preserve"> E+. </w:t>
      </w:r>
      <w:r w:rsidDel="00000000" w:rsidR="00000000" w:rsidRPr="00000000">
        <w:rPr>
          <w:rFonts w:ascii="Times New Roman" w:cs="Times New Roman" w:eastAsia="Times New Roman" w:hAnsi="Times New Roman"/>
          <w:rtl w:val="0"/>
        </w:rPr>
        <w:t xml:space="preserve">Platforma se va inchide în data de 30.11.2025,  ora 20:00.</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bCs w:val="0"/>
          <w:i w:val="0"/>
          <w:iCs w:val="0"/>
          <w:smallCaps w:val="0"/>
          <w:strike w:val="0"/>
          <w:sz w:val="22"/>
          <w:szCs w:val="22"/>
          <w:highlight w:val="white"/>
          <w:u w:val="none"/>
          <w:vertAlign w:val="baseline"/>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highlight w:val="white"/>
          <w:rtl w:val="0"/>
        </w:rPr>
        <w:tab/>
        <w:tab/>
        <w:t xml:space="preserve">* </w:t>
      </w:r>
      <w:r w:rsidDel="00000000" w:rsidR="00000000" w:rsidRPr="00000000">
        <w:rPr>
          <w:rFonts w:ascii="Times New Roman" w:cs="Times New Roman" w:eastAsia="Times New Roman" w:hAnsi="Times New Roman"/>
          <w:i w:val="1"/>
          <w:iCs w:val="1"/>
          <w:highlight w:val="white"/>
          <w:rtl w:val="0"/>
        </w:rPr>
        <w:t xml:space="preserve">Data limită înscrieri pentru testarea lingvistică</w:t>
      </w:r>
      <w:r w:rsidDel="00000000" w:rsidR="00000000" w:rsidRPr="00000000">
        <w:rPr>
          <w:rFonts w:ascii="Times New Roman" w:cs="Times New Roman" w:eastAsia="Times New Roman" w:hAnsi="Times New Roman"/>
          <w:highlight w:val="white"/>
          <w:rtl w:val="0"/>
        </w:rPr>
        <w:t xml:space="preserve">: </w:t>
      </w:r>
      <w:r w:rsidDel="00000000" w:rsidR="00000000" w:rsidRPr="00000000">
        <w:rPr>
          <w:rFonts w:ascii="Times New Roman" w:cs="Times New Roman" w:eastAsia="Times New Roman" w:hAnsi="Times New Roman"/>
          <w:b w:val="1"/>
          <w:bCs w:val="1"/>
          <w:highlight w:val="white"/>
          <w:rtl w:val="0"/>
        </w:rPr>
        <w:t xml:space="preserve">17 noiembrie 2025</w:t>
      </w:r>
      <w:r w:rsidDel="00000000" w:rsidR="00000000" w:rsidRPr="00000000">
        <w:rPr>
          <w:rFonts w:ascii="Times New Roman" w:cs="Times New Roman" w:eastAsia="Times New Roman" w:hAnsi="Times New Roman"/>
          <w:highlight w:val="white"/>
          <w:rtl w:val="0"/>
        </w:rPr>
        <w:t xml:space="preserve">. Înscrierile se fac la următorul link:</w:t>
      </w:r>
      <w:r w:rsidDel="00000000" w:rsidR="00000000" w:rsidRPr="00000000">
        <w:rPr>
          <w:rFonts w:ascii="Times New Roman" w:cs="Times New Roman" w:eastAsia="Times New Roman" w:hAnsi="Times New Roman"/>
          <w:b w:val="1"/>
          <w:bCs w:val="1"/>
          <w:highlight w:val="white"/>
          <w:rtl w:val="0"/>
        </w:rPr>
        <w:t xml:space="preserve">  </w:t>
      </w:r>
      <w:hyperlink r:id="rId13">
        <w:r w:rsidDel="00000000" w:rsidR="00000000" w:rsidRPr="00000000">
          <w:rPr>
            <w:rFonts w:ascii="Times New Roman" w:cs="Times New Roman" w:eastAsia="Times New Roman" w:hAnsi="Times New Roman"/>
            <w:b w:val="1"/>
            <w:bCs w:val="1"/>
            <w:u w:val="single"/>
            <w:rtl w:val="0"/>
          </w:rPr>
          <w:t xml:space="preserve">https://forms.gle/YPtZfRBgqfV7gh9Y8</w:t>
        </w:r>
      </w:hyperlink>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hanging="2"/>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ab/>
        <w:tab/>
        <w:t xml:space="preserve">* </w:t>
      </w:r>
      <w:r w:rsidDel="00000000" w:rsidR="00000000" w:rsidRPr="00000000">
        <w:rPr>
          <w:rFonts w:ascii="Times New Roman" w:cs="Times New Roman" w:eastAsia="Times New Roman" w:hAnsi="Times New Roman"/>
          <w:i w:val="1"/>
          <w:iCs w:val="1"/>
          <w:highlight w:val="white"/>
          <w:rtl w:val="0"/>
        </w:rPr>
        <w:t xml:space="preserve">Data susținerii testării lingvistice</w:t>
      </w:r>
      <w:r w:rsidDel="00000000" w:rsidR="00000000" w:rsidRPr="00000000">
        <w:rPr>
          <w:rFonts w:ascii="Times New Roman" w:cs="Times New Roman" w:eastAsia="Times New Roman" w:hAnsi="Times New Roman"/>
          <w:highlight w:val="white"/>
          <w:rtl w:val="0"/>
        </w:rPr>
        <w:t xml:space="preserve">: marți, </w:t>
      </w:r>
      <w:r w:rsidDel="00000000" w:rsidR="00000000" w:rsidRPr="00000000">
        <w:rPr>
          <w:rFonts w:ascii="Times New Roman" w:cs="Times New Roman" w:eastAsia="Times New Roman" w:hAnsi="Times New Roman"/>
          <w:b w:val="1"/>
          <w:bCs w:val="1"/>
          <w:highlight w:val="white"/>
          <w:rtl w:val="0"/>
        </w:rPr>
        <w:t xml:space="preserve">18 noiembrie 2025, ora 13:00</w:t>
      </w:r>
      <w:r w:rsidDel="00000000" w:rsidR="00000000" w:rsidRPr="00000000">
        <w:rPr>
          <w:rFonts w:ascii="Times New Roman" w:cs="Times New Roman" w:eastAsia="Times New Roman" w:hAnsi="Times New Roman"/>
          <w:highlight w:val="white"/>
          <w:rtl w:val="0"/>
        </w:rPr>
        <w:t xml:space="preserve"> (Facultatea de Litere)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Rule="auto"/>
        <w:ind w:hanging="2"/>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2"/>
          <w:szCs w:val="22"/>
          <w:highlight w:val="white"/>
          <w:u w:val="none"/>
          <w:vertAlign w:val="baseline"/>
          <w:rtl w:val="0"/>
        </w:rPr>
        <w:t xml:space="preserve">Etapa II:</w:t>
      </w:r>
      <w:r w:rsidDel="00000000" w:rsidR="00000000" w:rsidRPr="00000000">
        <w:rPr>
          <w:rFonts w:ascii="Times New Roman" w:cs="Times New Roman" w:eastAsia="Times New Roman" w:hAnsi="Times New Roman"/>
          <w:b w:val="0"/>
          <w:bCs w:val="0"/>
          <w:i w:val="0"/>
          <w:iCs w:val="0"/>
          <w:smallCaps w:val="0"/>
          <w:strike w:val="0"/>
          <w:sz w:val="22"/>
          <w:szCs w:val="22"/>
          <w:highlight w:val="white"/>
          <w:u w:val="none"/>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sz w:val="22"/>
          <w:szCs w:val="22"/>
          <w:highlight w:val="white"/>
          <w:u w:val="none"/>
          <w:vertAlign w:val="baseline"/>
          <w:rtl w:val="0"/>
        </w:rPr>
        <w:t xml:space="preserve">2-9 decembrie 2025 </w:t>
      </w:r>
      <w:r w:rsidDel="00000000" w:rsidR="00000000" w:rsidRPr="00000000">
        <w:rPr>
          <w:rFonts w:ascii="Times New Roman" w:cs="Times New Roman" w:eastAsia="Times New Roman" w:hAnsi="Times New Roman"/>
          <w:b w:val="0"/>
          <w:bCs w:val="0"/>
          <w:i w:val="0"/>
          <w:iCs w:val="0"/>
          <w:smallCaps w:val="0"/>
          <w:strike w:val="0"/>
          <w:sz w:val="22"/>
          <w:szCs w:val="22"/>
          <w:u w:val="none"/>
          <w:shd w:fill="auto" w:val="clear"/>
          <w:vertAlign w:val="baseline"/>
          <w:rtl w:val="0"/>
        </w:rPr>
        <w:t xml:space="preserve">- evaluarea dosarelor, întocmirea procesului-verbal și afișarea rezultatelor selecției</w:t>
      </w:r>
    </w:p>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2"/>
          <w:szCs w:val="22"/>
          <w:u w:val="none"/>
          <w:shd w:fill="auto" w:val="clear"/>
          <w:vertAlign w:val="baseline"/>
          <w:rtl w:val="0"/>
        </w:rPr>
        <w:t xml:space="preserve">Etapa III: </w:t>
      </w:r>
      <w:r w:rsidDel="00000000" w:rsidR="00000000" w:rsidRPr="00000000">
        <w:rPr>
          <w:rFonts w:ascii="Times New Roman" w:cs="Times New Roman" w:eastAsia="Times New Roman" w:hAnsi="Times New Roman"/>
          <w:b w:val="1"/>
          <w:bCs w:val="1"/>
          <w:i w:val="0"/>
          <w:iCs w:val="0"/>
          <w:smallCaps w:val="0"/>
          <w:strike w:val="0"/>
          <w:sz w:val="22"/>
          <w:szCs w:val="22"/>
          <w:highlight w:val="white"/>
          <w:u w:val="none"/>
          <w:vertAlign w:val="baseline"/>
          <w:rtl w:val="0"/>
        </w:rPr>
        <w:t xml:space="preserve">10 decembrie 2025 </w:t>
      </w:r>
      <w:r w:rsidDel="00000000" w:rsidR="00000000" w:rsidRPr="00000000">
        <w:rPr>
          <w:rFonts w:ascii="Times New Roman" w:cs="Times New Roman" w:eastAsia="Times New Roman" w:hAnsi="Times New Roman"/>
          <w:b w:val="0"/>
          <w:bCs w:val="0"/>
          <w:i w:val="0"/>
          <w:iCs w:val="0"/>
          <w:smallCaps w:val="0"/>
          <w:strike w:val="0"/>
          <w:sz w:val="22"/>
          <w:szCs w:val="22"/>
          <w:highlight w:val="white"/>
          <w:u w:val="none"/>
          <w:vertAlign w:val="baseline"/>
          <w:rtl w:val="0"/>
        </w:rPr>
        <w:t xml:space="preserve">- depunerea contestațiilor</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bCs w:val="0"/>
          <w:i w:val="0"/>
          <w:iCs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2"/>
          <w:szCs w:val="22"/>
          <w:u w:val="none"/>
          <w:shd w:fill="auto" w:val="clear"/>
          <w:vertAlign w:val="baseline"/>
          <w:rtl w:val="0"/>
        </w:rPr>
        <w:t xml:space="preserve">Etapa IV:</w:t>
      </w:r>
      <w:r w:rsidDel="00000000" w:rsidR="00000000" w:rsidRPr="00000000">
        <w:rPr>
          <w:rFonts w:ascii="Times New Roman" w:cs="Times New Roman" w:eastAsia="Times New Roman" w:hAnsi="Times New Roman"/>
          <w:b w:val="0"/>
          <w:bCs w:val="0"/>
          <w:i w:val="0"/>
          <w:iCs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sz w:val="22"/>
          <w:szCs w:val="22"/>
          <w:highlight w:val="white"/>
          <w:u w:val="none"/>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sz w:val="22"/>
          <w:szCs w:val="22"/>
          <w:highlight w:val="white"/>
          <w:u w:val="none"/>
          <w:vertAlign w:val="baseline"/>
          <w:rtl w:val="0"/>
        </w:rPr>
        <w:t xml:space="preserve">12 decembrie 2025</w:t>
      </w:r>
      <w:r w:rsidDel="00000000" w:rsidR="00000000" w:rsidRPr="00000000">
        <w:rPr>
          <w:rFonts w:ascii="Times New Roman" w:cs="Times New Roman" w:eastAsia="Times New Roman" w:hAnsi="Times New Roman"/>
          <w:b w:val="0"/>
          <w:bCs w:val="0"/>
          <w:i w:val="0"/>
          <w:iCs w:val="0"/>
          <w:smallCaps w:val="0"/>
          <w:strike w:val="0"/>
          <w:sz w:val="22"/>
          <w:szCs w:val="22"/>
          <w:highlight w:val="white"/>
          <w:u w:val="none"/>
          <w:vertAlign w:val="baseline"/>
          <w:rtl w:val="0"/>
        </w:rPr>
        <w:t xml:space="preserve"> - afişarea rezultatelor după soluționarea contestaţiilor în termenul legal.</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after="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Atașăm la prezenta adresă următoarele documente:</w:t>
      </w:r>
    </w:p>
    <w:p w:rsidR="00000000" w:rsidDel="00000000" w:rsidP="00000000" w:rsidRDefault="00000000" w:rsidRPr="00000000" w14:paraId="0000004F">
      <w:pPr>
        <w:spacing w:after="0" w:lineRule="auto"/>
        <w:ind w:left="-2"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rFonts w:ascii="Times New Roman" w:cs="Times New Roman" w:eastAsia="Times New Roman" w:hAnsi="Times New Roman"/>
          <w:b w:val="1"/>
          <w:bCs w:val="1"/>
          <w:i w:val="0"/>
          <w:iCs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2"/>
          <w:szCs w:val="22"/>
          <w:u w:val="none"/>
          <w:shd w:fill="auto" w:val="clear"/>
          <w:vertAlign w:val="baseline"/>
          <w:rtl w:val="0"/>
        </w:rPr>
        <w:t xml:space="preserve">Formular de eligibilitate și de înscriere a personalului ULBS pentru o mobilitate STA (Anexa 15)</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rFonts w:ascii="Times New Roman" w:cs="Times New Roman" w:eastAsia="Times New Roman" w:hAnsi="Times New Roman"/>
          <w:b w:val="1"/>
          <w:bCs w:val="1"/>
          <w:i w:val="0"/>
          <w:iCs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2"/>
          <w:szCs w:val="22"/>
          <w:u w:val="none"/>
          <w:shd w:fill="auto" w:val="clear"/>
          <w:vertAlign w:val="baseline"/>
          <w:rtl w:val="0"/>
        </w:rPr>
        <w:t xml:space="preserve">Teaching Mobility Programme </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18" w:right="0" w:hanging="360"/>
        <w:jc w:val="both"/>
        <w:rPr>
          <w:rFonts w:ascii="Times New Roman" w:cs="Times New Roman" w:eastAsia="Times New Roman" w:hAnsi="Times New Roman"/>
          <w:b w:val="0"/>
          <w:bCs w:val="0"/>
          <w:i w:val="0"/>
          <w:iCs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sz w:val="22"/>
          <w:szCs w:val="22"/>
          <w:u w:val="none"/>
          <w:shd w:fill="auto" w:val="clear"/>
          <w:vertAlign w:val="baseline"/>
          <w:rtl w:val="0"/>
        </w:rPr>
        <w:t xml:space="preserve">Situaţia centralizată a acordurilor bilaterale şi locurile disponibile – Erasmus+</w:t>
      </w:r>
      <w:r w:rsidDel="00000000" w:rsidR="00000000" w:rsidRPr="00000000">
        <w:rPr>
          <w:rFonts w:ascii="Times New Roman" w:cs="Times New Roman" w:eastAsia="Times New Roman" w:hAnsi="Times New Roman"/>
          <w:b w:val="0"/>
          <w:bCs w:val="0"/>
          <w:i w:val="0"/>
          <w:iCs w:val="0"/>
          <w:smallCaps w:val="0"/>
          <w:strike w:val="0"/>
          <w:sz w:val="22"/>
          <w:szCs w:val="22"/>
          <w:u w:val="none"/>
          <w:shd w:fill="auto" w:val="clear"/>
          <w:vertAlign w:val="baseline"/>
          <w:rtl w:val="0"/>
        </w:rPr>
        <w:t xml:space="preserve"> </w:t>
      </w:r>
    </w:p>
    <w:p w:rsidR="00000000" w:rsidDel="00000000" w:rsidP="00000000" w:rsidRDefault="00000000" w:rsidRPr="00000000" w14:paraId="00000053">
      <w:pPr>
        <w:spacing w:after="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after="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Vă rugăm să respectaţi cerinţele prezentei adrese, datele de depunere a documentelor şi să utilizaţi formularele standardizate din Anexe.</w:t>
      </w:r>
    </w:p>
    <w:p w:rsidR="00000000" w:rsidDel="00000000" w:rsidP="00000000" w:rsidRDefault="00000000" w:rsidRPr="00000000" w14:paraId="00000055">
      <w:pPr>
        <w:spacing w:after="0" w:lineRule="auto"/>
        <w:ind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spacing w:after="0" w:lineRule="auto"/>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after="0" w:lineRule="auto"/>
        <w:ind w:right="-152" w:hanging="2"/>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Prof.univ.dr. Andrei TERIAN - DAN,                                            Lector univ. dr. Anca SIMS,</w:t>
      </w:r>
    </w:p>
    <w:p w:rsidR="00000000" w:rsidDel="00000000" w:rsidP="00000000" w:rsidRDefault="00000000" w:rsidRPr="00000000" w14:paraId="00000058">
      <w:pPr>
        <w:spacing w:after="0" w:lineRule="auto"/>
        <w:ind w:right="-152"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Coordonator instituţional Erasmus+</w:t>
        <w:tab/>
        <w:tab/>
        <w:tab/>
        <w:t xml:space="preserve">                 Șef Serviciu Erasmus+                                                                             </w:t>
      </w:r>
      <w:r w:rsidDel="00000000" w:rsidR="00000000" w:rsidRPr="00000000">
        <w:rPr>
          <w:rtl w:val="0"/>
        </w:rPr>
      </w:r>
    </w:p>
    <w:p w:rsidR="00000000" w:rsidDel="00000000" w:rsidP="00000000" w:rsidRDefault="00000000" w:rsidRPr="00000000" w14:paraId="00000059">
      <w:pPr>
        <w:spacing w:after="0" w:before="120" w:lineRule="auto"/>
        <w:ind w:hanging="2"/>
        <w:jc w:val="both"/>
        <w:rPr>
          <w:rFonts w:ascii="Times New Roman" w:cs="Times New Roman" w:eastAsia="Times New Roman" w:hAnsi="Times New Roman"/>
          <w:b w:val="1"/>
          <w:bCs w:val="1"/>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6839" w:w="11907" w:orient="portrait"/>
      <w:pgMar w:bottom="1418" w:top="1418" w:left="1418" w:right="563" w:header="425"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ind w:hanging="2"/>
      <w:rPr>
        <w:rFonts w:ascii="Helvetica Neue" w:cs="Helvetica Neue" w:eastAsia="Helvetica Neue" w:hAnsi="Helvetica Neue"/>
        <w:color w:val="0b2f63"/>
      </w:rPr>
    </w:pPr>
    <w:r w:rsidDel="00000000" w:rsidR="00000000" w:rsidRPr="00000000">
      <w:rPr>
        <w:rFonts w:ascii="Helvetica Neue" w:cs="Helvetica Neue" w:eastAsia="Helvetica Neue" w:hAnsi="Helvetica Neue"/>
        <w:color w:val="0b2f63"/>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-257171</wp:posOffset>
              </wp:positionH>
              <wp:positionV relativeFrom="paragraph">
                <wp:posOffset>34926</wp:posOffset>
              </wp:positionV>
              <wp:extent cx="6584950" cy="125094"/>
              <wp:effectExtent b="0" l="0" r="0" t="0"/>
              <wp:wrapNone/>
              <wp:docPr id="20" name=""/>
              <a:graphic>
                <a:graphicData uri="http://schemas.microsoft.com/office/word/2010/wordprocessingShape">
                  <wps:wsp>
                    <wps:cNvCnPr/>
                    <wps:spPr>
                      <a:xfrm flipH="1" rot="10800000">
                        <a:off x="2093213" y="3757141"/>
                        <a:ext cx="6505575" cy="45719"/>
                      </a:xfrm>
                      <a:prstGeom prst="straightConnector1">
                        <a:avLst/>
                      </a:prstGeom>
                      <a:noFill/>
                      <a:ln cap="flat" cmpd="sng" w="15875">
                        <a:solidFill>
                          <a:srgbClr val="0B2F63"/>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-257171</wp:posOffset>
              </wp:positionH>
              <wp:positionV relativeFrom="paragraph">
                <wp:posOffset>34926</wp:posOffset>
              </wp:positionV>
              <wp:extent cx="6584950" cy="125094"/>
              <wp:effectExtent b="0" l="0" r="0" t="0"/>
              <wp:wrapNone/>
              <wp:docPr id="2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6584950" cy="125094"/>
                      </a:xfrm>
                      <a:prstGeom prst="rect"/>
                      <a:ln/>
                    </pic:spPr>
                  </pic:pic>
                </a:graphicData>
              </a:graphic>
            </wp:anchor>
          </w:drawing>
        </mc:Fallback>
      </mc:AlternateContent>
    </w:r>
  </w:p>
  <w:tbl>
    <w:tblPr>
      <w:tblStyle w:val="Table3"/>
      <w:tblW w:w="928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12"/>
      <w:gridCol w:w="4575"/>
      <w:tblGridChange w:id="0">
        <w:tblGrid>
          <w:gridCol w:w="4712"/>
          <w:gridCol w:w="457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7">
          <w:pPr>
            <w:spacing w:after="0" w:line="240" w:lineRule="auto"/>
            <w:ind w:hanging="2"/>
            <w:jc w:val="both"/>
            <w:rPr>
              <w:rFonts w:ascii="Times New Roman" w:cs="Times New Roman" w:eastAsia="Times New Roman" w:hAnsi="Times New Roman"/>
              <w:color w:val="0b2f63"/>
            </w:rPr>
          </w:pPr>
          <w:r w:rsidDel="00000000" w:rsidR="00000000" w:rsidRPr="00000000">
            <w:rPr>
              <w:rFonts w:ascii="Times New Roman" w:cs="Times New Roman" w:eastAsia="Times New Roman" w:hAnsi="Times New Roman"/>
              <w:color w:val="0b2f63"/>
              <w:rtl w:val="0"/>
            </w:rPr>
            <w:t xml:space="preserve">Bd. Victoriei, Nr. 10 </w:t>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ind w:hanging="2"/>
            <w:rPr>
              <w:rFonts w:ascii="Times New Roman" w:cs="Times New Roman" w:eastAsia="Times New Roman" w:hAnsi="Times New Roman"/>
              <w:color w:val="0b2f63"/>
            </w:rPr>
          </w:pPr>
          <w:r w:rsidDel="00000000" w:rsidR="00000000" w:rsidRPr="00000000">
            <w:rPr>
              <w:rFonts w:ascii="Times New Roman" w:cs="Times New Roman" w:eastAsia="Times New Roman" w:hAnsi="Times New Roman"/>
              <w:color w:val="0b2f63"/>
              <w:rtl w:val="0"/>
            </w:rPr>
            <w:t xml:space="preserve">550024 Sibiu, România</w:t>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ind w:hanging="2"/>
            <w:rPr>
              <w:rFonts w:ascii="Times New Roman" w:cs="Times New Roman" w:eastAsia="Times New Roman" w:hAnsi="Times New Roman"/>
              <w:color w:val="0b2f63"/>
            </w:rPr>
          </w:pPr>
          <w:r w:rsidDel="00000000" w:rsidR="00000000" w:rsidRPr="00000000">
            <w:rPr>
              <w:rFonts w:ascii="Times New Roman" w:cs="Times New Roman" w:eastAsia="Times New Roman" w:hAnsi="Times New Roman"/>
              <w:b w:val="1"/>
              <w:bCs w:val="1"/>
              <w:color w:val="0b2f63"/>
              <w:rtl w:val="0"/>
            </w:rPr>
            <w:t xml:space="preserve">international.ulbsibiu.ro</w:t>
          </w: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ind w:hanging="2"/>
            <w:rPr>
              <w:rFonts w:ascii="Times New Roman" w:cs="Times New Roman" w:eastAsia="Times New Roman" w:hAnsi="Times New Roman"/>
              <w:color w:val="0b2f6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6B">
          <w:pPr>
            <w:spacing w:after="0" w:line="240" w:lineRule="auto"/>
            <w:ind w:hanging="2"/>
            <w:jc w:val="right"/>
            <w:rPr>
              <w:rFonts w:ascii="Times New Roman" w:cs="Times New Roman" w:eastAsia="Times New Roman" w:hAnsi="Times New Roman"/>
              <w:color w:val="0b2f63"/>
            </w:rPr>
          </w:pPr>
          <w:r w:rsidDel="00000000" w:rsidR="00000000" w:rsidRPr="00000000">
            <w:rPr>
              <w:rFonts w:ascii="Times New Roman" w:cs="Times New Roman" w:eastAsia="Times New Roman" w:hAnsi="Times New Roman"/>
              <w:color w:val="0b2f63"/>
              <w:rtl w:val="0"/>
            </w:rPr>
            <w:t xml:space="preserve">Tel.: +40 269 21.77.79, int. 129</w:t>
          </w:r>
        </w:p>
        <w:p w:rsidR="00000000" w:rsidDel="00000000" w:rsidP="00000000" w:rsidRDefault="00000000" w:rsidRPr="00000000" w14:paraId="0000006C">
          <w:pPr>
            <w:spacing w:after="0" w:line="240" w:lineRule="auto"/>
            <w:ind w:hanging="2"/>
            <w:jc w:val="right"/>
            <w:rPr>
              <w:rFonts w:ascii="Times New Roman" w:cs="Times New Roman" w:eastAsia="Times New Roman" w:hAnsi="Times New Roman"/>
              <w:color w:val="0b2f63"/>
            </w:rPr>
          </w:pPr>
          <w:r w:rsidDel="00000000" w:rsidR="00000000" w:rsidRPr="00000000">
            <w:rPr>
              <w:rFonts w:ascii="Times New Roman" w:cs="Times New Roman" w:eastAsia="Times New Roman" w:hAnsi="Times New Roman"/>
              <w:color w:val="0b2f63"/>
              <w:rtl w:val="0"/>
            </w:rPr>
            <w:t xml:space="preserve">Fax: +40 269 21.05.12</w:t>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ind w:hanging="2"/>
            <w:jc w:val="right"/>
            <w:rPr>
              <w:rFonts w:ascii="Times New Roman" w:cs="Times New Roman" w:eastAsia="Times New Roman" w:hAnsi="Times New Roman"/>
              <w:color w:val="0b2f63"/>
            </w:rPr>
          </w:pPr>
          <w:r w:rsidDel="00000000" w:rsidR="00000000" w:rsidRPr="00000000">
            <w:rPr>
              <w:rFonts w:ascii="Times New Roman" w:cs="Times New Roman" w:eastAsia="Times New Roman" w:hAnsi="Times New Roman"/>
              <w:color w:val="0b2f63"/>
              <w:rtl w:val="0"/>
            </w:rPr>
            <w:t xml:space="preserve">E-mail: international@ulbsibiu.ro</w:t>
          </w:r>
          <w:r w:rsidDel="00000000" w:rsidR="00000000" w:rsidRPr="00000000">
            <w:rPr>
              <w:rFonts w:ascii="Times New Roman" w:cs="Times New Roman" w:eastAsia="Times New Roman" w:hAnsi="Times New Roman"/>
              <w:b w:val="1"/>
              <w:bCs w:val="1"/>
              <w:color w:val="0b2f63"/>
              <w:rtl w:val="0"/>
            </w:rPr>
            <w:t xml:space="preserve"> </w:t>
          </w:r>
          <w:r w:rsidDel="00000000" w:rsidR="00000000" w:rsidRPr="00000000">
            <w:rPr>
              <w:rtl w:val="0"/>
            </w:rPr>
          </w:r>
        </w:p>
      </w:tc>
    </w:tr>
  </w:tbl>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hanging="2"/>
      <w:jc w:val="center"/>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hanging="2"/>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Î</w:t>
      </w:r>
      <w:r w:rsidDel="00000000" w:rsidR="00000000" w:rsidRPr="00000000">
        <w:rPr>
          <w:rFonts w:ascii="Times New Roman" w:cs="Times New Roman" w:eastAsia="Times New Roman" w:hAnsi="Times New Roman"/>
          <w:b w:val="1"/>
          <w:bCs w:val="1"/>
          <w:sz w:val="20"/>
          <w:szCs w:val="20"/>
          <w:rtl w:val="0"/>
        </w:rPr>
        <w:t xml:space="preserve">n cazul instituțiilor  marcate cu asterisc (prevăzute în anexa aferentă locurilor disponibile): termenul de realizare a mobilităților este 3 iulie 2026.</w:t>
      </w:r>
      <w:r w:rsidDel="00000000" w:rsidR="00000000" w:rsidRPr="00000000">
        <w:rPr>
          <w:rFonts w:ascii="Times New Roman" w:cs="Times New Roman" w:eastAsia="Times New Roman" w:hAnsi="Times New Roman"/>
          <w:b w:val="1"/>
          <w:bCs w:val="1"/>
          <w:sz w:val="20"/>
          <w:szCs w:val="20"/>
          <w:rtl w:val="0"/>
        </w:rPr>
        <w:t xml:space="preserve"> </w:t>
      </w:r>
    </w:p>
  </w:footnote>
  <w:footnote w:id="1">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Pentru personalul care nu deține un atestat de limbă străină de nivel minim B2, testarea lingvistică va avea loc în data de 18 noiembrie la sediul Facultății de Litere și Arte.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0" w:lineRule="auto"/>
      <w:ind w:hanging="2"/>
      <w:rPr>
        <w:rFonts w:ascii="Times New Roman" w:cs="Times New Roman" w:eastAsia="Times New Roman" w:hAnsi="Times New Roman"/>
        <w:sz w:val="24"/>
        <w:szCs w:val="24"/>
      </w:rPr>
    </w:pPr>
    <w:r w:rsidDel="00000000" w:rsidR="00000000" w:rsidRPr="00000000">
      <w:rPr>
        <w:rtl w:val="0"/>
      </w:rPr>
    </w:r>
  </w:p>
  <w:tbl>
    <w:tblPr>
      <w:tblStyle w:val="Table2"/>
      <w:tblW w:w="10314.0" w:type="dxa"/>
      <w:jc w:val="left"/>
      <w:tblInd w:w="-618.0" w:type="dxa"/>
      <w:tblLayout w:type="fixed"/>
      <w:tblLook w:val="0000"/>
    </w:tblPr>
    <w:tblGrid>
      <w:gridCol w:w="3533"/>
      <w:gridCol w:w="6781"/>
      <w:tblGridChange w:id="0">
        <w:tblGrid>
          <w:gridCol w:w="3533"/>
          <w:gridCol w:w="6781"/>
        </w:tblGrid>
      </w:tblGridChange>
    </w:tblGrid>
    <w:tr>
      <w:trPr>
        <w:cantSplit w:val="0"/>
        <w:trHeight w:val="1191" w:hRule="atLeast"/>
        <w:tblHeader w:val="0"/>
      </w:trPr>
      <w:tc>
        <w:tcPr/>
        <w:p w:rsidR="00000000" w:rsidDel="00000000" w:rsidP="00000000" w:rsidRDefault="00000000" w:rsidRPr="00000000" w14:paraId="0000005E">
          <w:pPr>
            <w:spacing w:after="0" w:line="240" w:lineRule="auto"/>
            <w:ind w:left="1" w:hanging="3"/>
            <w:jc w:val="right"/>
            <w:rPr>
              <w:rFonts w:ascii="Helvetica Neue" w:cs="Helvetica Neue" w:eastAsia="Helvetica Neue" w:hAnsi="Helvetica Neue"/>
              <w:color w:val="244061"/>
              <w:sz w:val="26"/>
              <w:szCs w:val="26"/>
            </w:rPr>
          </w:pPr>
          <w:r w:rsidDel="00000000" w:rsidR="00000000" w:rsidRPr="00000000">
            <w:rPr>
              <w:rFonts w:ascii="Helvetica Neue" w:cs="Helvetica Neue" w:eastAsia="Helvetica Neue" w:hAnsi="Helvetica Neue"/>
              <w:b w:val="1"/>
              <w:bCs w:val="1"/>
              <w:color w:val="0b2f63"/>
              <w:sz w:val="26"/>
              <w:szCs w:val="26"/>
            </w:rPr>
            <w:drawing>
              <wp:inline distB="0" distT="0" distL="114300" distR="114300">
                <wp:extent cx="2106295" cy="626745"/>
                <wp:effectExtent b="0" l="0" r="0" t="0"/>
                <wp:docPr descr="LOGO-NOU_2020_coli antet" id="23" name="image3.png"/>
                <a:graphic>
                  <a:graphicData uri="http://schemas.openxmlformats.org/drawingml/2006/picture">
                    <pic:pic>
                      <pic:nvPicPr>
                        <pic:cNvPr descr="LOGO-NOU_2020_coli antet" id="0" name="image3.png"/>
                        <pic:cNvPicPr preferRelativeResize="0"/>
                      </pic:nvPicPr>
                      <pic:blipFill>
                        <a:blip r:embed="rId1"/>
                        <a:srcRect b="0" l="0" r="0" t="0"/>
                        <a:stretch>
                          <a:fillRect/>
                        </a:stretch>
                      </pic:blipFill>
                      <pic:spPr>
                        <a:xfrm>
                          <a:off x="0" y="0"/>
                          <a:ext cx="2106295" cy="62674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F">
          <w:pPr>
            <w:spacing w:after="0" w:line="240" w:lineRule="auto"/>
            <w:ind w:hanging="2"/>
            <w:jc w:val="right"/>
            <w:rPr>
              <w:rFonts w:ascii="Times New Roman" w:cs="Times New Roman" w:eastAsia="Times New Roman" w:hAnsi="Times New Roman"/>
              <w:color w:val="0b2f63"/>
              <w:sz w:val="24"/>
              <w:szCs w:val="24"/>
            </w:rPr>
          </w:pPr>
          <w:r w:rsidDel="00000000" w:rsidR="00000000" w:rsidRPr="00000000">
            <w:rPr>
              <w:rFonts w:ascii="Times New Roman" w:cs="Times New Roman" w:eastAsia="Times New Roman" w:hAnsi="Times New Roman"/>
              <w:b w:val="1"/>
              <w:bCs w:val="1"/>
              <w:color w:val="0b2f63"/>
              <w:sz w:val="24"/>
              <w:szCs w:val="24"/>
              <w:rtl w:val="0"/>
            </w:rPr>
            <w:t xml:space="preserve">Universitatea „Lucian Blaga” din Sibiu</w:t>
          </w:r>
          <w:r w:rsidDel="00000000" w:rsidR="00000000" w:rsidRPr="00000000">
            <w:rPr>
              <w:rtl w:val="0"/>
            </w:rPr>
          </w:r>
        </w:p>
        <w:p w:rsidR="00000000" w:rsidDel="00000000" w:rsidP="00000000" w:rsidRDefault="00000000" w:rsidRPr="00000000" w14:paraId="00000060">
          <w:pPr>
            <w:spacing w:after="0" w:line="240" w:lineRule="auto"/>
            <w:ind w:hanging="2"/>
            <w:jc w:val="right"/>
            <w:rPr>
              <w:rFonts w:ascii="Times New Roman" w:cs="Times New Roman" w:eastAsia="Times New Roman" w:hAnsi="Times New Roman"/>
              <w:color w:val="0b2f63"/>
              <w:sz w:val="23"/>
              <w:szCs w:val="23"/>
            </w:rPr>
          </w:pPr>
          <w:r w:rsidDel="00000000" w:rsidR="00000000" w:rsidRPr="00000000">
            <w:rPr>
              <w:rFonts w:ascii="Times New Roman" w:cs="Times New Roman" w:eastAsia="Times New Roman" w:hAnsi="Times New Roman"/>
              <w:color w:val="0b2f63"/>
              <w:sz w:val="23"/>
              <w:szCs w:val="23"/>
              <w:rtl w:val="0"/>
            </w:rPr>
            <w:t xml:space="preserve">Departamentul de Relații Internaționale</w:t>
          </w:r>
        </w:p>
        <w:p w:rsidR="00000000" w:rsidDel="00000000" w:rsidP="00000000" w:rsidRDefault="00000000" w:rsidRPr="00000000" w14:paraId="00000061">
          <w:pPr>
            <w:spacing w:after="0" w:line="240" w:lineRule="auto"/>
            <w:ind w:hanging="2"/>
            <w:jc w:val="right"/>
            <w:rPr>
              <w:rFonts w:ascii="Times New Roman" w:cs="Times New Roman" w:eastAsia="Times New Roman" w:hAnsi="Times New Roman"/>
              <w:color w:val="0b2f63"/>
              <w:sz w:val="24"/>
              <w:szCs w:val="24"/>
            </w:rPr>
          </w:pPr>
          <w:r w:rsidDel="00000000" w:rsidR="00000000" w:rsidRPr="00000000">
            <w:rPr>
              <w:rtl w:val="0"/>
            </w:rPr>
          </w:r>
        </w:p>
        <w:p w:rsidR="00000000" w:rsidDel="00000000" w:rsidP="00000000" w:rsidRDefault="00000000" w:rsidRPr="00000000" w14:paraId="00000062">
          <w:pPr>
            <w:spacing w:after="0" w:line="240" w:lineRule="auto"/>
            <w:ind w:hanging="2"/>
            <w:jc w:val="right"/>
            <w:rPr>
              <w:rFonts w:ascii="Times New Roman" w:cs="Times New Roman" w:eastAsia="Times New Roman" w:hAnsi="Times New Roman"/>
              <w:color w:val="244061"/>
              <w:sz w:val="26"/>
              <w:szCs w:val="26"/>
            </w:rPr>
          </w:pPr>
          <w:r w:rsidDel="00000000" w:rsidR="00000000" w:rsidRPr="00000000">
            <w:rPr>
              <w:rFonts w:ascii="Times New Roman" w:cs="Times New Roman" w:eastAsia="Times New Roman" w:hAnsi="Times New Roman"/>
              <w:color w:val="0b2f63"/>
              <w:sz w:val="24"/>
              <w:szCs w:val="24"/>
              <w:rtl w:val="0"/>
            </w:rPr>
            <w:t xml:space="preserve">Serviciul  ERASMUS+</w:t>
          </w:r>
          <w:r w:rsidDel="00000000" w:rsidR="00000000" w:rsidRPr="00000000">
            <w:rPr>
              <w:rtl w:val="0"/>
            </w:rPr>
          </w:r>
        </w:p>
      </w:tc>
    </w:tr>
  </w:tbl>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ind w:hanging="2"/>
      <w:rPr>
        <w:rFonts w:ascii="Helvetica Neue" w:cs="Helvetica Neue" w:eastAsia="Helvetica Neue" w:hAnsi="Helvetica Neue"/>
        <w:color w:val="0b2f63"/>
      </w:rPr>
    </w:pPr>
    <w:r w:rsidDel="00000000" w:rsidR="00000000" w:rsidRPr="00000000">
      <w:rPr>
        <w:rFonts w:ascii="Helvetica Neue" w:cs="Helvetica Neue" w:eastAsia="Helvetica Neue" w:hAnsi="Helvetica Neue"/>
        <w:color w:val="0b2f63"/>
        <w:rtl w:val="0"/>
      </w:rPr>
      <w:t xml:space="preserve"> </w:t>
    </w:r>
    <w:r w:rsidDel="00000000" w:rsidR="00000000" w:rsidRPr="00000000">
      <w:rPr>
        <w:b w:val="1"/>
        <w:bCs w:val="1"/>
        <w:color w:val="0b2f63"/>
        <w:sz w:val="48"/>
        <w:szCs w:val="48"/>
      </w:rPr>
      <w:drawing>
        <wp:inline distB="0" distT="0" distL="114300" distR="114300">
          <wp:extent cx="6391275" cy="85725"/>
          <wp:effectExtent b="0" l="0" r="0" t="0"/>
          <wp:docPr id="2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391275" cy="8572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ind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4">
    <w:lvl w:ilvl="0">
      <w:start w:val="1"/>
      <w:numFmt w:val="bullet"/>
      <w:lvlText w:val="●"/>
      <w:lvlJc w:val="left"/>
      <w:pPr>
        <w:ind w:left="718" w:hanging="360"/>
      </w:pPr>
      <w:rPr>
        <w:rFonts w:ascii="Noto Sans Symbols" w:cs="Noto Sans Symbols" w:eastAsia="Noto Sans Symbols" w:hAnsi="Noto Sans Symbols"/>
        <w:color w:val="000000"/>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widowControl w:val="0"/>
      <w:spacing w:after="0" w:line="240" w:lineRule="auto"/>
      <w:ind w:left="100" w:hanging="274"/>
      <w:jc w:val="both"/>
    </w:pPr>
    <w:rPr>
      <w:rFonts w:ascii="Georgia" w:cs="Georgia" w:eastAsia="Georgia" w:hAnsi="Georgia"/>
      <w:b w:val="1"/>
      <w:bCs w:val="1"/>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a" w:customStyle="1">
    <w:basedOn w:val="TableNormal2"/>
    <w:tblPr>
      <w:tblStyleRowBandSize w:val="1"/>
      <w:tblStyleColBandSize w:val="1"/>
    </w:tblPr>
  </w:style>
  <w:style w:type="table" w:styleId="a0" w:customStyle="1">
    <w:basedOn w:val="TableNormal2"/>
    <w:tblPr>
      <w:tblStyleRowBandSize w:val="1"/>
      <w:tblStyleColBandSize w:val="1"/>
      <w:tblCellMar>
        <w:left w:w="108.0" w:type="dxa"/>
        <w:right w:w="108.0" w:type="dxa"/>
      </w:tblCellMar>
    </w:tblPr>
  </w:style>
  <w:style w:type="paragraph" w:styleId="ListParagraph">
    <w:name w:val="List Paragraph"/>
    <w:basedOn w:val="Normal"/>
    <w:uiPriority w:val="34"/>
    <w:qFormat w:val="1"/>
    <w:rsid w:val="00E26F5A"/>
    <w:pPr>
      <w:ind w:left="720"/>
      <w:contextualSpacing w:val="1"/>
    </w:pPr>
  </w:style>
  <w:style w:type="character" w:styleId="Hyperlink">
    <w:name w:val="Hyperlink"/>
    <w:basedOn w:val="DefaultParagraphFont"/>
    <w:uiPriority w:val="99"/>
    <w:unhideWhenUsed w:val="1"/>
    <w:rsid w:val="000A41B3"/>
    <w:rPr>
      <w:color w:val="0000ff"/>
      <w:u w:val="single"/>
    </w:rPr>
  </w:style>
  <w:style w:type="character" w:styleId="FollowedHyperlink">
    <w:name w:val="FollowedHyperlink"/>
    <w:basedOn w:val="DefaultParagraphFont"/>
    <w:uiPriority w:val="99"/>
    <w:semiHidden w:val="1"/>
    <w:unhideWhenUsed w:val="1"/>
    <w:rsid w:val="000A41B3"/>
    <w:rPr>
      <w:color w:val="800080" w:themeColor="followedHyperlink"/>
      <w:u w:val="single"/>
    </w:rPr>
  </w:style>
  <w:style w:type="paragraph" w:styleId="FootnoteText">
    <w:name w:val="footnote text"/>
    <w:basedOn w:val="Normal"/>
    <w:link w:val="FootnoteTextChar"/>
    <w:uiPriority w:val="99"/>
    <w:semiHidden w:val="1"/>
    <w:unhideWhenUsed w:val="1"/>
    <w:rsid w:val="000A41B3"/>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0A41B3"/>
    <w:rPr>
      <w:sz w:val="20"/>
      <w:szCs w:val="20"/>
    </w:rPr>
  </w:style>
  <w:style w:type="character" w:styleId="FootnoteReference">
    <w:name w:val="footnote reference"/>
    <w:basedOn w:val="DefaultParagraphFont"/>
    <w:uiPriority w:val="99"/>
    <w:semiHidden w:val="1"/>
    <w:unhideWhenUsed w:val="1"/>
    <w:rsid w:val="000A41B3"/>
    <w:rPr>
      <w:vertAlign w:val="superscript"/>
    </w:rPr>
  </w:style>
  <w:style w:type="character" w:styleId="UnresolvedMention">
    <w:name w:val="Unresolved Mention"/>
    <w:basedOn w:val="DefaultParagraphFont"/>
    <w:uiPriority w:val="99"/>
    <w:semiHidden w:val="1"/>
    <w:unhideWhenUsed w:val="1"/>
    <w:rsid w:val="005243E2"/>
    <w:rPr>
      <w:color w:val="605e5c"/>
      <w:shd w:color="auto" w:fill="e1dfdd" w:val="clear"/>
    </w:rPr>
  </w:style>
  <w:style w:type="table" w:styleId="a1" w:customStyle="1">
    <w:basedOn w:val="TableNormal2"/>
    <w:tblPr>
      <w:tblStyleRowBandSize w:val="1"/>
      <w:tblStyleColBandSize w:val="1"/>
      <w:tblCellMar>
        <w:left w:w="108.0" w:type="dxa"/>
        <w:right w:w="108.0" w:type="dxa"/>
      </w:tblCellMar>
    </w:tblPr>
  </w:style>
  <w:style w:type="table" w:styleId="a2" w:customStyle="1">
    <w:basedOn w:val="TableNormal2"/>
    <w:tblPr>
      <w:tblStyleRowBandSize w:val="1"/>
      <w:tblStyleColBandSize w:val="1"/>
      <w:tblCellMar>
        <w:left w:w="108.0" w:type="dxa"/>
        <w:right w:w="108.0" w:type="dxa"/>
      </w:tblCellMar>
    </w:tblPr>
  </w:style>
  <w:style w:type="table" w:styleId="a3" w:customStyle="1">
    <w:basedOn w:val="TableNormal1"/>
    <w:tblPr>
      <w:tblStyleRowBandSize w:val="1"/>
      <w:tblStyleColBandSize w:val="1"/>
      <w:tblCellMar>
        <w:left w:w="108.0" w:type="dxa"/>
        <w:right w:w="108.0" w:type="dxa"/>
      </w:tblCellMar>
    </w:tblPr>
  </w:style>
  <w:style w:type="table" w:styleId="a4" w:customStyle="1">
    <w:basedOn w:val="TableNormal1"/>
    <w:tblPr>
      <w:tblStyleRowBandSize w:val="1"/>
      <w:tblStyleColBandSize w:val="1"/>
      <w:tblCellMar>
        <w:left w:w="108.0" w:type="dxa"/>
        <w:right w:w="108.0" w:type="dxa"/>
      </w:tblCellMar>
    </w:tblPr>
  </w:style>
  <w:style w:type="table" w:styleId="a5" w:customStyle="1">
    <w:basedOn w:val="TableNormal1"/>
    <w:tblPr>
      <w:tblStyleRowBandSize w:val="1"/>
      <w:tblStyleColBandSize w:val="1"/>
      <w:tblCellMar>
        <w:left w:w="108.0" w:type="dxa"/>
        <w:right w:w="108.0" w:type="dxa"/>
      </w:tblCellMar>
    </w:tblPr>
  </w:style>
  <w:style w:type="table" w:styleId="a6" w:customStyle="1">
    <w:basedOn w:val="TableNormal1"/>
    <w:tblPr>
      <w:tblStyleRowBandSize w:val="1"/>
      <w:tblStyleColBandSize w:val="1"/>
      <w:tblCellMar>
        <w:left w:w="108.0" w:type="dxa"/>
        <w:right w:w="108.0" w:type="dxa"/>
      </w:tblCellMar>
    </w:tblPr>
  </w:style>
  <w:style w:type="table" w:styleId="TableGrid">
    <w:name w:val="Table Grid"/>
    <w:basedOn w:val="TableNormal"/>
    <w:uiPriority w:val="39"/>
    <w:rsid w:val="000975C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senat.ulbsibiu.ro/wp-content/uploads/260123/7_Regulament%20mobilitati%20Erasmus_Senat_ianuarie2023.pdf" TargetMode="External"/><Relationship Id="rId13" Type="http://schemas.openxmlformats.org/officeDocument/2006/relationships/hyperlink" Target="https://forms.gle/YPtZfRBgqfV7gh9Y8" TargetMode="External"/><Relationship Id="rId12" Type="http://schemas.openxmlformats.org/officeDocument/2006/relationships/hyperlink" Target="https://forms.gle/5NXD7b9byUK3kVHN9"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international.ulbsibiu.ro" TargetMode="External"/><Relationship Id="rId15" Type="http://schemas.openxmlformats.org/officeDocument/2006/relationships/header" Target="header3.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1.xml"/><Relationship Id="rId5" Type="http://schemas.openxmlformats.org/officeDocument/2006/relationships/numbering" Target="numbering.xml"/><Relationship Id="rId19" Type="http://schemas.openxmlformats.org/officeDocument/2006/relationships/footer" Target="footer1.xml"/><Relationship Id="rId6" Type="http://schemas.openxmlformats.org/officeDocument/2006/relationships/styles" Target="styles.xml"/><Relationship Id="rId18" Type="http://schemas.openxmlformats.org/officeDocument/2006/relationships/footer" Target="footer3.xml"/><Relationship Id="rId7" Type="http://schemas.openxmlformats.org/officeDocument/2006/relationships/customXml" Target="../customXML/item1.xml"/><Relationship Id="rId8" Type="http://schemas.openxmlformats.org/officeDocument/2006/relationships/hyperlink" Target="https://forms.gle/5NXD7b9byUK3kVHN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t1IBGcWsmTQI2Rmd5utVmviKg==">CgMxLjA4AHIhMU5jM1lLeWtPZnI2SmY5ZHpSUzZaTExNZ0RHeVpBOHJD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2025-11-07T08:40:00Z</dcterms:created>
  <dc:creator>Georgiana Ungureanu</dc:creator>
</cp:coreProperties>
</file>